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A06A" w14:textId="77777777" w:rsidR="00E41E09" w:rsidRDefault="00E41E09">
      <w:pPr>
        <w:pStyle w:val="P68B1DB1-Normal1"/>
        <w:jc w:val="center"/>
        <w:rPr>
          <w:lang w:val="fr-FR"/>
        </w:rPr>
      </w:pPr>
      <w:r w:rsidRPr="00E41E09">
        <w:rPr>
          <w:lang w:val="fr-FR"/>
        </w:rPr>
        <w:t xml:space="preserve">ATELIER DE CONSULTATION SUR </w:t>
      </w:r>
    </w:p>
    <w:p w14:paraId="33CB0076" w14:textId="1356278C" w:rsidR="00A1497D" w:rsidRPr="00E41E09" w:rsidRDefault="00E41E09">
      <w:pPr>
        <w:pStyle w:val="P68B1DB1-Normal1"/>
        <w:jc w:val="center"/>
        <w:rPr>
          <w:lang w:val="fr-FR"/>
        </w:rPr>
      </w:pPr>
      <w:r w:rsidRPr="00E41E09">
        <w:rPr>
          <w:lang w:val="fr-FR"/>
        </w:rPr>
        <w:t>LE PROJET D</w:t>
      </w:r>
      <w:r w:rsidR="009B762A">
        <w:rPr>
          <w:lang w:val="fr-FR"/>
        </w:rPr>
        <w:t>’</w:t>
      </w:r>
      <w:r w:rsidRPr="00E41E09">
        <w:rPr>
          <w:lang w:val="fr-FR"/>
        </w:rPr>
        <w:t>ACC</w:t>
      </w:r>
      <w:r w:rsidR="004010DB">
        <w:rPr>
          <w:lang w:val="fr-FR"/>
        </w:rPr>
        <w:t>ORD ENTRE LES ETATS PARTICIPANT</w:t>
      </w:r>
      <w:r w:rsidRPr="00E41E09">
        <w:rPr>
          <w:lang w:val="fr-FR"/>
        </w:rPr>
        <w:t xml:space="preserve"> AU PLAN RÉGIONAL DE SURVEILLANCE DES PÊCHES DE LA COMMISSION DE L</w:t>
      </w:r>
      <w:r w:rsidR="009B762A">
        <w:rPr>
          <w:lang w:val="fr-FR"/>
        </w:rPr>
        <w:t>’</w:t>
      </w:r>
      <w:r w:rsidRPr="00E41E09">
        <w:rPr>
          <w:lang w:val="fr-FR"/>
        </w:rPr>
        <w:t xml:space="preserve">OCEAN INDIEN POUR LA MISE EN PLACE DE MÉCANISMES RÉGIONAUX </w:t>
      </w:r>
      <w:r w:rsidR="004010DB">
        <w:rPr>
          <w:lang w:val="fr-FR"/>
        </w:rPr>
        <w:t>D</w:t>
      </w:r>
      <w:r w:rsidR="009B762A">
        <w:rPr>
          <w:lang w:val="fr-FR"/>
        </w:rPr>
        <w:t>’</w:t>
      </w:r>
      <w:r w:rsidRPr="00E41E09">
        <w:rPr>
          <w:lang w:val="fr-FR"/>
        </w:rPr>
        <w:t>ÉCHANGE D</w:t>
      </w:r>
      <w:r w:rsidR="009B762A">
        <w:rPr>
          <w:lang w:val="fr-FR"/>
        </w:rPr>
        <w:t>’</w:t>
      </w:r>
      <w:r w:rsidRPr="00E41E09">
        <w:rPr>
          <w:lang w:val="fr-FR"/>
        </w:rPr>
        <w:t xml:space="preserve">INFORMATIONS SUR LES PÊCHES </w:t>
      </w:r>
      <w:r w:rsidR="004010DB">
        <w:rPr>
          <w:lang w:val="fr-FR"/>
        </w:rPr>
        <w:t>POUR LE</w:t>
      </w:r>
      <w:r w:rsidRPr="00E41E09">
        <w:rPr>
          <w:lang w:val="fr-FR"/>
        </w:rPr>
        <w:t xml:space="preserve"> SUIVI, </w:t>
      </w:r>
      <w:r w:rsidR="004010DB">
        <w:rPr>
          <w:lang w:val="fr-FR"/>
        </w:rPr>
        <w:t>LE</w:t>
      </w:r>
      <w:r w:rsidRPr="00E41E09">
        <w:rPr>
          <w:lang w:val="fr-FR"/>
        </w:rPr>
        <w:t xml:space="preserve"> CONTRÔLE ET </w:t>
      </w:r>
      <w:r w:rsidR="004010DB">
        <w:rPr>
          <w:lang w:val="fr-FR"/>
        </w:rPr>
        <w:t>LA</w:t>
      </w:r>
      <w:r w:rsidRPr="00E41E09">
        <w:rPr>
          <w:lang w:val="fr-FR"/>
        </w:rPr>
        <w:t xml:space="preserve"> SURVEILLAN</w:t>
      </w:r>
      <w:r>
        <w:rPr>
          <w:lang w:val="fr-FR"/>
        </w:rPr>
        <w:t>CE</w:t>
      </w:r>
      <w:r w:rsidR="009522F6">
        <w:rPr>
          <w:lang w:val="fr-FR"/>
        </w:rPr>
        <w:t xml:space="preserve"> (SCS)</w:t>
      </w:r>
    </w:p>
    <w:p w14:paraId="2F5E69CD" w14:textId="22A92DAE" w:rsidR="00A1497D" w:rsidRPr="00E41E09" w:rsidRDefault="00A1497D">
      <w:pPr>
        <w:jc w:val="center"/>
        <w:rPr>
          <w:rFonts w:asciiTheme="majorHAnsi" w:hAnsiTheme="majorHAnsi" w:cstheme="majorHAnsi"/>
          <w:b/>
          <w:sz w:val="22"/>
          <w:lang w:val="fr-FR"/>
        </w:rPr>
      </w:pPr>
    </w:p>
    <w:p w14:paraId="4F4A21EF" w14:textId="72DCDE31" w:rsidR="00A1497D" w:rsidRPr="00E41E09" w:rsidRDefault="00E41E09">
      <w:pPr>
        <w:pStyle w:val="P68B1DB1-Normal1"/>
        <w:jc w:val="center"/>
        <w:rPr>
          <w:lang w:val="fr-FR"/>
        </w:rPr>
      </w:pPr>
      <w:r w:rsidRPr="00E41E09">
        <w:rPr>
          <w:lang w:val="fr-FR"/>
        </w:rPr>
        <w:t>31 janvier 2023</w:t>
      </w:r>
    </w:p>
    <w:p w14:paraId="206E5FF3" w14:textId="60BBFA0E" w:rsidR="00A1497D" w:rsidRPr="00E41E09" w:rsidRDefault="00E41E09">
      <w:pPr>
        <w:pStyle w:val="P68B1DB1-Normal1"/>
        <w:jc w:val="center"/>
        <w:rPr>
          <w:lang w:val="fr-FR"/>
        </w:rPr>
      </w:pPr>
      <w:proofErr w:type="spellStart"/>
      <w:r w:rsidRPr="00E41E09">
        <w:rPr>
          <w:lang w:val="fr-FR"/>
        </w:rPr>
        <w:t>Tulip</w:t>
      </w:r>
      <w:proofErr w:type="spellEnd"/>
      <w:r w:rsidRPr="00E41E09">
        <w:rPr>
          <w:lang w:val="fr-FR"/>
        </w:rPr>
        <w:t xml:space="preserve"> Inn Sainte-Clotilde La Réunion</w:t>
      </w:r>
    </w:p>
    <w:p w14:paraId="2674E72B" w14:textId="6DD52EAA" w:rsidR="00A1497D" w:rsidRPr="00E41E09" w:rsidRDefault="00A1497D">
      <w:pPr>
        <w:jc w:val="center"/>
        <w:rPr>
          <w:rFonts w:asciiTheme="majorHAnsi" w:hAnsiTheme="majorHAnsi" w:cstheme="majorHAnsi"/>
          <w:b/>
          <w:sz w:val="22"/>
          <w:lang w:val="fr-FR"/>
        </w:rPr>
      </w:pPr>
    </w:p>
    <w:p w14:paraId="266C2BFE" w14:textId="2C274E09" w:rsidR="00A1497D" w:rsidRPr="00E41E09" w:rsidRDefault="00E41E09">
      <w:pPr>
        <w:pStyle w:val="P68B1DB1-Normal1"/>
        <w:jc w:val="center"/>
        <w:rPr>
          <w:lang w:val="fr-FR"/>
        </w:rPr>
      </w:pPr>
      <w:r w:rsidRPr="00E41E09">
        <w:rPr>
          <w:lang w:val="fr-FR"/>
        </w:rPr>
        <w:t>ORDRE DU JOUR PROVISOIRE</w:t>
      </w:r>
    </w:p>
    <w:p w14:paraId="2B360125" w14:textId="51D6AC7A" w:rsidR="00A1497D" w:rsidRPr="00E41E09" w:rsidRDefault="00A1497D">
      <w:pPr>
        <w:jc w:val="center"/>
        <w:rPr>
          <w:rFonts w:asciiTheme="majorHAnsi" w:hAnsiTheme="majorHAnsi" w:cstheme="majorHAnsi"/>
          <w:b/>
          <w:sz w:val="22"/>
          <w:lang w:val="fr-FR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77"/>
        <w:gridCol w:w="522"/>
        <w:gridCol w:w="6247"/>
        <w:gridCol w:w="1470"/>
      </w:tblGrid>
      <w:tr w:rsidR="00A1497D" w:rsidRPr="00E41E09" w14:paraId="205845D7" w14:textId="77777777">
        <w:tc>
          <w:tcPr>
            <w:tcW w:w="748" w:type="dxa"/>
          </w:tcPr>
          <w:p w14:paraId="08D48302" w14:textId="568493C6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08h30</w:t>
            </w:r>
          </w:p>
        </w:tc>
        <w:tc>
          <w:tcPr>
            <w:tcW w:w="523" w:type="dxa"/>
          </w:tcPr>
          <w:p w14:paraId="7C839B30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  <w:tc>
          <w:tcPr>
            <w:tcW w:w="6274" w:type="dxa"/>
          </w:tcPr>
          <w:p w14:paraId="5BB28A17" w14:textId="05D10E4D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Mots de bienvenue et d</w:t>
            </w:r>
            <w:r w:rsidR="009B762A">
              <w:rPr>
                <w:lang w:val="fr-FR"/>
              </w:rPr>
              <w:t>’</w:t>
            </w:r>
            <w:r w:rsidRPr="00E41E09">
              <w:rPr>
                <w:lang w:val="fr-FR"/>
              </w:rPr>
              <w:t>introduction</w:t>
            </w:r>
          </w:p>
        </w:tc>
        <w:tc>
          <w:tcPr>
            <w:tcW w:w="1471" w:type="dxa"/>
          </w:tcPr>
          <w:p w14:paraId="6B686E31" w14:textId="5F4A721A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M. Jude Talma</w:t>
            </w:r>
          </w:p>
        </w:tc>
      </w:tr>
      <w:tr w:rsidR="00A1497D" w:rsidRPr="00E41E09" w14:paraId="1C911171" w14:textId="77777777">
        <w:tc>
          <w:tcPr>
            <w:tcW w:w="748" w:type="dxa"/>
          </w:tcPr>
          <w:p w14:paraId="757BFC47" w14:textId="20B806D6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08h45</w:t>
            </w:r>
          </w:p>
        </w:tc>
        <w:tc>
          <w:tcPr>
            <w:tcW w:w="523" w:type="dxa"/>
          </w:tcPr>
          <w:p w14:paraId="7F51AA41" w14:textId="3BB3CF7C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</w:t>
            </w:r>
          </w:p>
        </w:tc>
        <w:tc>
          <w:tcPr>
            <w:tcW w:w="6274" w:type="dxa"/>
          </w:tcPr>
          <w:p w14:paraId="308A3252" w14:textId="63AE3464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Discours d</w:t>
            </w:r>
            <w:r w:rsidR="009B762A">
              <w:rPr>
                <w:lang w:val="fr-FR"/>
              </w:rPr>
              <w:t>’</w:t>
            </w:r>
            <w:r w:rsidRPr="00E41E09">
              <w:rPr>
                <w:lang w:val="fr-FR"/>
              </w:rPr>
              <w:t>ouverture</w:t>
            </w:r>
          </w:p>
        </w:tc>
        <w:tc>
          <w:tcPr>
            <w:tcW w:w="1471" w:type="dxa"/>
          </w:tcPr>
          <w:p w14:paraId="40B93773" w14:textId="7EB7A2A1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COI</w:t>
            </w:r>
          </w:p>
        </w:tc>
      </w:tr>
      <w:tr w:rsidR="00A1497D" w:rsidRPr="00E41E09" w14:paraId="4C1BB2C0" w14:textId="77777777">
        <w:tc>
          <w:tcPr>
            <w:tcW w:w="748" w:type="dxa"/>
          </w:tcPr>
          <w:p w14:paraId="0456EDA7" w14:textId="30D125C8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08h55</w:t>
            </w:r>
          </w:p>
        </w:tc>
        <w:tc>
          <w:tcPr>
            <w:tcW w:w="523" w:type="dxa"/>
          </w:tcPr>
          <w:p w14:paraId="69EC68F2" w14:textId="7C2B8F4D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2</w:t>
            </w:r>
          </w:p>
        </w:tc>
        <w:tc>
          <w:tcPr>
            <w:tcW w:w="6274" w:type="dxa"/>
          </w:tcPr>
          <w:p w14:paraId="15E7CBBB" w14:textId="7AFD7E8A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Présentation des participants</w:t>
            </w:r>
          </w:p>
        </w:tc>
        <w:tc>
          <w:tcPr>
            <w:tcW w:w="1471" w:type="dxa"/>
          </w:tcPr>
          <w:p w14:paraId="787F70EA" w14:textId="0C085209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Président</w:t>
            </w:r>
          </w:p>
        </w:tc>
      </w:tr>
      <w:tr w:rsidR="00A1497D" w:rsidRPr="00E41E09" w14:paraId="46D007F9" w14:textId="77777777">
        <w:tc>
          <w:tcPr>
            <w:tcW w:w="748" w:type="dxa"/>
          </w:tcPr>
          <w:p w14:paraId="5DA53F66" w14:textId="6630F1D5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09h00</w:t>
            </w:r>
          </w:p>
        </w:tc>
        <w:tc>
          <w:tcPr>
            <w:tcW w:w="523" w:type="dxa"/>
          </w:tcPr>
          <w:p w14:paraId="12BD62E4" w14:textId="2E257336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3</w:t>
            </w:r>
          </w:p>
        </w:tc>
        <w:tc>
          <w:tcPr>
            <w:tcW w:w="6274" w:type="dxa"/>
          </w:tcPr>
          <w:p w14:paraId="59FB024C" w14:textId="451E52C3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Introduction succincte au projet d</w:t>
            </w:r>
            <w:r w:rsidR="009B762A">
              <w:rPr>
                <w:lang w:val="fr-FR"/>
              </w:rPr>
              <w:t>’</w:t>
            </w:r>
            <w:r w:rsidRPr="00E41E09">
              <w:rPr>
                <w:lang w:val="fr-FR"/>
              </w:rPr>
              <w:t>accord et rapport de présentation des modifications proposées pour des raisons juridiques</w:t>
            </w:r>
          </w:p>
          <w:p w14:paraId="62B48E07" w14:textId="729F01CE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  <w:p w14:paraId="519C5F30" w14:textId="19CE5748" w:rsidR="00A1497D" w:rsidRPr="00E41E09" w:rsidRDefault="004010DB">
            <w:pPr>
              <w:pStyle w:val="P68B1DB1-ListParagraph2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Emploi</w:t>
            </w:r>
            <w:r w:rsidR="00E41E09" w:rsidRPr="00E41E09">
              <w:rPr>
                <w:lang w:val="fr-FR"/>
              </w:rPr>
              <w:t xml:space="preserve"> des termes</w:t>
            </w:r>
          </w:p>
          <w:p w14:paraId="30D8A145" w14:textId="071C16D9" w:rsidR="00A1497D" w:rsidRPr="00E41E09" w:rsidRDefault="00E41E09">
            <w:pPr>
              <w:pStyle w:val="P68B1DB1-ListParagraph2"/>
              <w:numPr>
                <w:ilvl w:val="0"/>
                <w:numId w:val="2"/>
              </w:numPr>
              <w:rPr>
                <w:lang w:val="fr-FR"/>
              </w:rPr>
            </w:pPr>
            <w:r w:rsidRPr="00E41E09">
              <w:rPr>
                <w:lang w:val="fr-FR"/>
              </w:rPr>
              <w:t>Objectif et cadre de coopération régionale</w:t>
            </w:r>
          </w:p>
          <w:p w14:paraId="3AF707AB" w14:textId="5811F65C" w:rsidR="00E41E09" w:rsidRDefault="00E41E09" w:rsidP="00E41E09">
            <w:pPr>
              <w:pStyle w:val="P68B1DB1-Normal1"/>
              <w:numPr>
                <w:ilvl w:val="0"/>
                <w:numId w:val="2"/>
              </w:numPr>
              <w:rPr>
                <w:lang w:val="fr-FR"/>
              </w:rPr>
            </w:pPr>
            <w:r w:rsidRPr="00E41E09">
              <w:rPr>
                <w:lang w:val="fr-FR"/>
              </w:rPr>
              <w:t>Par</w:t>
            </w:r>
            <w:r w:rsidR="004010DB">
              <w:rPr>
                <w:lang w:val="fr-FR"/>
              </w:rPr>
              <w:t>ties et partenaires au présent A</w:t>
            </w:r>
            <w:r w:rsidRPr="00E41E09">
              <w:rPr>
                <w:lang w:val="fr-FR"/>
              </w:rPr>
              <w:t>ccord</w:t>
            </w:r>
          </w:p>
          <w:p w14:paraId="793ECD91" w14:textId="47A5B3FF" w:rsidR="00A1497D" w:rsidRPr="00E41E09" w:rsidRDefault="00E41E09" w:rsidP="00E41E09">
            <w:pPr>
              <w:pStyle w:val="P68B1DB1-Normal1"/>
              <w:numPr>
                <w:ilvl w:val="0"/>
                <w:numId w:val="2"/>
              </w:numPr>
              <w:rPr>
                <w:lang w:val="fr-FR"/>
              </w:rPr>
            </w:pPr>
            <w:r w:rsidRPr="00E41E09">
              <w:rPr>
                <w:lang w:val="fr-FR"/>
              </w:rPr>
              <w:t>Principes généraux</w:t>
            </w:r>
          </w:p>
          <w:p w14:paraId="37E1BB35" w14:textId="3682B330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6.    Responsabilités des Parties (Les</w:t>
            </w:r>
            <w:r w:rsidR="004010DB">
              <w:rPr>
                <w:lang w:val="fr-FR"/>
              </w:rPr>
              <w:t xml:space="preserve"> Seychelles et la Tanzanie   </w:t>
            </w:r>
            <w:r w:rsidRPr="00E41E09">
              <w:rPr>
                <w:lang w:val="fr-FR"/>
              </w:rPr>
              <w:t>souhaiteront peut-être ajouter une nouvelle formulation au paragraphe 3)</w:t>
            </w:r>
          </w:p>
          <w:p w14:paraId="179A23D9" w14:textId="77777777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19.  Retrait et suspension</w:t>
            </w:r>
          </w:p>
          <w:p w14:paraId="5F648400" w14:textId="2BFD23B1" w:rsidR="00A1497D" w:rsidRPr="00E41E09" w:rsidRDefault="00E41E09">
            <w:pPr>
              <w:pStyle w:val="P68B1DB1-Normal1"/>
              <w:rPr>
                <w:lang w:val="fr-FR"/>
              </w:rPr>
            </w:pPr>
            <w:r>
              <w:rPr>
                <w:lang w:val="fr-FR"/>
              </w:rPr>
              <w:t xml:space="preserve">20. </w:t>
            </w:r>
            <w:r w:rsidRPr="00E41E09">
              <w:rPr>
                <w:lang w:val="fr-FR"/>
              </w:rPr>
              <w:t>Mesures de protection en cas de suspension</w:t>
            </w:r>
          </w:p>
          <w:p w14:paraId="118D363C" w14:textId="77777777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21. Réserves et exceptions</w:t>
            </w:r>
          </w:p>
          <w:p w14:paraId="2D7FCFFB" w14:textId="0F371C95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 xml:space="preserve">22. </w:t>
            </w:r>
            <w:r w:rsidR="004010DB">
              <w:rPr>
                <w:lang w:val="fr-FR"/>
              </w:rPr>
              <w:t>Rapport</w:t>
            </w:r>
            <w:r w:rsidRPr="00E41E09">
              <w:rPr>
                <w:lang w:val="fr-FR"/>
              </w:rPr>
              <w:t xml:space="preserve"> avec d</w:t>
            </w:r>
            <w:r w:rsidR="009B762A">
              <w:rPr>
                <w:lang w:val="fr-FR"/>
              </w:rPr>
              <w:t>’</w:t>
            </w:r>
            <w:r w:rsidRPr="00E41E09">
              <w:rPr>
                <w:lang w:val="fr-FR"/>
              </w:rPr>
              <w:t>autres accords</w:t>
            </w:r>
          </w:p>
          <w:p w14:paraId="09A36ED0" w14:textId="72DD017F" w:rsidR="00A1497D" w:rsidRPr="00E41E09" w:rsidRDefault="00FF5456">
            <w:pPr>
              <w:pStyle w:val="P68B1DB1-Normal1"/>
              <w:rPr>
                <w:lang w:val="fr-FR"/>
              </w:rPr>
            </w:pPr>
            <w:r>
              <w:rPr>
                <w:lang w:val="fr-FR"/>
              </w:rPr>
              <w:t xml:space="preserve">23. </w:t>
            </w:r>
            <w:r w:rsidR="00E41E09" w:rsidRPr="00E41E09">
              <w:rPr>
                <w:lang w:val="fr-FR"/>
              </w:rPr>
              <w:t>Dépositaire</w:t>
            </w:r>
          </w:p>
          <w:p w14:paraId="277E091E" w14:textId="16F3A21E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24. Textes faisant foi</w:t>
            </w:r>
          </w:p>
        </w:tc>
        <w:tc>
          <w:tcPr>
            <w:tcW w:w="1471" w:type="dxa"/>
          </w:tcPr>
          <w:p w14:paraId="29308E4E" w14:textId="5D9FDE4F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Judith Swan</w:t>
            </w:r>
          </w:p>
        </w:tc>
      </w:tr>
      <w:tr w:rsidR="00A1497D" w:rsidRPr="00E41E09" w14:paraId="768F31B6" w14:textId="77777777">
        <w:tc>
          <w:tcPr>
            <w:tcW w:w="748" w:type="dxa"/>
          </w:tcPr>
          <w:p w14:paraId="3191CC5D" w14:textId="550DA083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09h15</w:t>
            </w:r>
          </w:p>
        </w:tc>
        <w:tc>
          <w:tcPr>
            <w:tcW w:w="523" w:type="dxa"/>
          </w:tcPr>
          <w:p w14:paraId="16BA5307" w14:textId="6DC1AA5E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4</w:t>
            </w:r>
          </w:p>
        </w:tc>
        <w:tc>
          <w:tcPr>
            <w:tcW w:w="6274" w:type="dxa"/>
          </w:tcPr>
          <w:p w14:paraId="5BB81D04" w14:textId="06877C5B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Examen des aspects techniques à convenir :</w:t>
            </w:r>
          </w:p>
          <w:p w14:paraId="1C84CEBE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  <w:p w14:paraId="04B58C0A" w14:textId="308DAAD6" w:rsidR="00A1497D" w:rsidRPr="00E41E09" w:rsidRDefault="00E41E09">
            <w:pPr>
              <w:pStyle w:val="P68B1DB1-Normal1"/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4010DB">
              <w:rPr>
                <w:lang w:val="fr-FR"/>
              </w:rPr>
              <w:t>Champ d</w:t>
            </w:r>
            <w:r w:rsidR="009B762A">
              <w:rPr>
                <w:lang w:val="fr-FR"/>
              </w:rPr>
              <w:t>’</w:t>
            </w:r>
            <w:r w:rsidR="004010DB">
              <w:rPr>
                <w:lang w:val="fr-FR"/>
              </w:rPr>
              <w:t>a</w:t>
            </w:r>
            <w:r w:rsidRPr="00E41E09">
              <w:rPr>
                <w:lang w:val="fr-FR"/>
              </w:rPr>
              <w:t>pplication (Annexe 1 - Zone de coopération)</w:t>
            </w:r>
          </w:p>
          <w:p w14:paraId="229C95FA" w14:textId="5D06069B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7 Échange d</w:t>
            </w:r>
            <w:r w:rsidR="009B762A">
              <w:rPr>
                <w:lang w:val="fr-FR"/>
              </w:rPr>
              <w:t>’</w:t>
            </w:r>
            <w:r w:rsidRPr="00E41E09">
              <w:rPr>
                <w:lang w:val="fr-FR"/>
              </w:rPr>
              <w:t>inf</w:t>
            </w:r>
            <w:r w:rsidR="004010DB">
              <w:rPr>
                <w:lang w:val="fr-FR"/>
              </w:rPr>
              <w:t>ormations sur la pêche (dont l</w:t>
            </w:r>
            <w:r w:rsidR="009B762A">
              <w:rPr>
                <w:lang w:val="fr-FR"/>
              </w:rPr>
              <w:t>’</w:t>
            </w:r>
            <w:r w:rsidR="004010DB">
              <w:rPr>
                <w:lang w:val="fr-FR"/>
              </w:rPr>
              <w:t>A</w:t>
            </w:r>
            <w:r w:rsidRPr="00E41E09">
              <w:rPr>
                <w:lang w:val="fr-FR"/>
              </w:rPr>
              <w:t>nnexe II)</w:t>
            </w:r>
          </w:p>
          <w:p w14:paraId="0329CDBB" w14:textId="6E625D94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8 Emplacement du serveur régional et sécurité des données</w:t>
            </w:r>
          </w:p>
          <w:p w14:paraId="1B0488FA" w14:textId="49CCCC47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9 Accès à l</w:t>
            </w:r>
            <w:r w:rsidR="009B762A">
              <w:rPr>
                <w:lang w:val="fr-FR"/>
              </w:rPr>
              <w:t>’</w:t>
            </w:r>
            <w:r w:rsidRPr="00E41E09">
              <w:rPr>
                <w:lang w:val="fr-FR"/>
              </w:rPr>
              <w:t>information sur la pêche</w:t>
            </w:r>
          </w:p>
          <w:p w14:paraId="1FADF226" w14:textId="0A1C2B4D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10 Procédure d</w:t>
            </w:r>
            <w:r w:rsidR="009B762A">
              <w:rPr>
                <w:lang w:val="fr-FR"/>
              </w:rPr>
              <w:t>’</w:t>
            </w:r>
            <w:r w:rsidRPr="00E41E09">
              <w:rPr>
                <w:lang w:val="fr-FR"/>
              </w:rPr>
              <w:t>échange et de partage d</w:t>
            </w:r>
            <w:r w:rsidR="009B762A">
              <w:rPr>
                <w:lang w:val="fr-FR"/>
              </w:rPr>
              <w:t>’</w:t>
            </w:r>
            <w:r w:rsidR="004010DB">
              <w:rPr>
                <w:lang w:val="fr-FR"/>
              </w:rPr>
              <w:t xml:space="preserve">informations sur la pêche     </w:t>
            </w:r>
            <w:r w:rsidRPr="00E41E09">
              <w:rPr>
                <w:lang w:val="fr-FR"/>
              </w:rPr>
              <w:t>11 Mesures de protection de l</w:t>
            </w:r>
            <w:r w:rsidR="009B762A">
              <w:rPr>
                <w:lang w:val="fr-FR"/>
              </w:rPr>
              <w:t>’</w:t>
            </w:r>
            <w:r w:rsidRPr="00E41E09">
              <w:rPr>
                <w:lang w:val="fr-FR"/>
              </w:rPr>
              <w:t>information et de confidentialité</w:t>
            </w:r>
          </w:p>
          <w:p w14:paraId="020BD3B2" w14:textId="5B306C75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12 Diffusion d</w:t>
            </w:r>
            <w:r w:rsidR="009B762A">
              <w:rPr>
                <w:lang w:val="fr-FR"/>
              </w:rPr>
              <w:t>’</w:t>
            </w:r>
            <w:r w:rsidRPr="00E41E09">
              <w:rPr>
                <w:lang w:val="fr-FR"/>
              </w:rPr>
              <w:t>informations à caractère confidentiel</w:t>
            </w:r>
          </w:p>
          <w:p w14:paraId="0FBDA19E" w14:textId="63CE3437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13 Services de secrétariat et dispositions financières</w:t>
            </w:r>
          </w:p>
          <w:p w14:paraId="4159DBE2" w14:textId="62A31859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14 Signature et adhésion</w:t>
            </w:r>
          </w:p>
        </w:tc>
        <w:tc>
          <w:tcPr>
            <w:tcW w:w="1471" w:type="dxa"/>
          </w:tcPr>
          <w:p w14:paraId="0DFEC5C1" w14:textId="77777777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Président</w:t>
            </w:r>
          </w:p>
          <w:p w14:paraId="099B066A" w14:textId="5C5D04DF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(Judith Swan aspects juridiques)</w:t>
            </w:r>
          </w:p>
          <w:p w14:paraId="54AA70ED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highlight w:val="yellow"/>
                <w:lang w:val="fr-FR"/>
              </w:rPr>
            </w:pPr>
          </w:p>
          <w:p w14:paraId="2BDE0074" w14:textId="6137E943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Participants Aspects techniques</w:t>
            </w:r>
          </w:p>
          <w:p w14:paraId="2F554D9C" w14:textId="1B51CACE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</w:tr>
      <w:tr w:rsidR="00A1497D" w:rsidRPr="00E41E09" w14:paraId="2460F241" w14:textId="77777777">
        <w:tc>
          <w:tcPr>
            <w:tcW w:w="748" w:type="dxa"/>
          </w:tcPr>
          <w:p w14:paraId="35CEB9CB" w14:textId="0E8CE3BC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10h30</w:t>
            </w:r>
          </w:p>
        </w:tc>
        <w:tc>
          <w:tcPr>
            <w:tcW w:w="523" w:type="dxa"/>
          </w:tcPr>
          <w:p w14:paraId="4F327013" w14:textId="006BDC72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  <w:tc>
          <w:tcPr>
            <w:tcW w:w="6274" w:type="dxa"/>
          </w:tcPr>
          <w:p w14:paraId="2287AB0A" w14:textId="050FEE37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Pause rafraîchissement</w:t>
            </w:r>
          </w:p>
          <w:p w14:paraId="56BA6E85" w14:textId="30E6D50A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  <w:tc>
          <w:tcPr>
            <w:tcW w:w="1471" w:type="dxa"/>
          </w:tcPr>
          <w:p w14:paraId="492ED2FC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</w:tr>
      <w:tr w:rsidR="00A1497D" w:rsidRPr="004010DB" w14:paraId="77840819" w14:textId="77777777">
        <w:tc>
          <w:tcPr>
            <w:tcW w:w="748" w:type="dxa"/>
          </w:tcPr>
          <w:p w14:paraId="363A5FE3" w14:textId="4E096768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11h00</w:t>
            </w:r>
          </w:p>
        </w:tc>
        <w:tc>
          <w:tcPr>
            <w:tcW w:w="523" w:type="dxa"/>
          </w:tcPr>
          <w:p w14:paraId="3DB5BA2A" w14:textId="7870BBA8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5</w:t>
            </w:r>
          </w:p>
        </w:tc>
        <w:tc>
          <w:tcPr>
            <w:tcW w:w="6274" w:type="dxa"/>
          </w:tcPr>
          <w:p w14:paraId="232E194F" w14:textId="32E37D5B" w:rsidR="00A1497D" w:rsidRPr="00E41E09" w:rsidRDefault="0047690A">
            <w:pPr>
              <w:pStyle w:val="P68B1DB1-Normal1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4010DB">
              <w:rPr>
                <w:lang w:val="fr-FR"/>
              </w:rPr>
              <w:t>spects techniques</w:t>
            </w:r>
            <w:r w:rsidR="00E41E09" w:rsidRPr="00E41E09">
              <w:rPr>
                <w:lang w:val="fr-FR"/>
              </w:rPr>
              <w:t xml:space="preserve"> (suite)</w:t>
            </w:r>
          </w:p>
          <w:p w14:paraId="787D4ABF" w14:textId="68A5294B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  <w:tc>
          <w:tcPr>
            <w:tcW w:w="1471" w:type="dxa"/>
          </w:tcPr>
          <w:p w14:paraId="79A985EF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</w:tr>
      <w:tr w:rsidR="00A1497D" w:rsidRPr="00E41E09" w14:paraId="45748BD5" w14:textId="77777777">
        <w:tc>
          <w:tcPr>
            <w:tcW w:w="748" w:type="dxa"/>
          </w:tcPr>
          <w:p w14:paraId="1F37A50A" w14:textId="59D0DEE4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12h30</w:t>
            </w:r>
          </w:p>
        </w:tc>
        <w:tc>
          <w:tcPr>
            <w:tcW w:w="523" w:type="dxa"/>
          </w:tcPr>
          <w:p w14:paraId="2B7B97A7" w14:textId="60FA6119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  <w:tc>
          <w:tcPr>
            <w:tcW w:w="6274" w:type="dxa"/>
          </w:tcPr>
          <w:p w14:paraId="10141092" w14:textId="7FB3B033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Déjeuner</w:t>
            </w:r>
          </w:p>
          <w:p w14:paraId="34C33126" w14:textId="4768871C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  <w:tc>
          <w:tcPr>
            <w:tcW w:w="1471" w:type="dxa"/>
          </w:tcPr>
          <w:p w14:paraId="3F414157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</w:tr>
      <w:tr w:rsidR="00A1497D" w:rsidRPr="004010DB" w14:paraId="1ADEE9DC" w14:textId="77777777">
        <w:tc>
          <w:tcPr>
            <w:tcW w:w="748" w:type="dxa"/>
          </w:tcPr>
          <w:p w14:paraId="2325536E" w14:textId="3D03B010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13h30</w:t>
            </w:r>
          </w:p>
        </w:tc>
        <w:tc>
          <w:tcPr>
            <w:tcW w:w="523" w:type="dxa"/>
          </w:tcPr>
          <w:p w14:paraId="21EF442D" w14:textId="17DC1651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6</w:t>
            </w:r>
          </w:p>
        </w:tc>
        <w:tc>
          <w:tcPr>
            <w:tcW w:w="6274" w:type="dxa"/>
          </w:tcPr>
          <w:p w14:paraId="62A0C261" w14:textId="461B0E88" w:rsidR="004010DB" w:rsidRPr="00E41E09" w:rsidRDefault="0047690A" w:rsidP="004010DB">
            <w:pPr>
              <w:pStyle w:val="P68B1DB1-Normal1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4010DB">
              <w:rPr>
                <w:lang w:val="fr-FR"/>
              </w:rPr>
              <w:t>spects techniques</w:t>
            </w:r>
            <w:r w:rsidR="004010DB" w:rsidRPr="00E41E09">
              <w:rPr>
                <w:lang w:val="fr-FR"/>
              </w:rPr>
              <w:t xml:space="preserve"> (suite)</w:t>
            </w:r>
          </w:p>
          <w:p w14:paraId="69FE6FC3" w14:textId="6CCC6AE2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  <w:tc>
          <w:tcPr>
            <w:tcW w:w="1471" w:type="dxa"/>
          </w:tcPr>
          <w:p w14:paraId="61126CA5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</w:tr>
      <w:tr w:rsidR="00A1497D" w:rsidRPr="00E41E09" w14:paraId="5D555B5D" w14:textId="77777777">
        <w:tc>
          <w:tcPr>
            <w:tcW w:w="748" w:type="dxa"/>
          </w:tcPr>
          <w:p w14:paraId="39815E46" w14:textId="51862A7B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lastRenderedPageBreak/>
              <w:t>15h00</w:t>
            </w:r>
          </w:p>
        </w:tc>
        <w:tc>
          <w:tcPr>
            <w:tcW w:w="523" w:type="dxa"/>
          </w:tcPr>
          <w:p w14:paraId="5F096829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  <w:tc>
          <w:tcPr>
            <w:tcW w:w="6274" w:type="dxa"/>
          </w:tcPr>
          <w:p w14:paraId="330A812B" w14:textId="731746F0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Pause rafraîchissement</w:t>
            </w:r>
          </w:p>
        </w:tc>
        <w:tc>
          <w:tcPr>
            <w:tcW w:w="1471" w:type="dxa"/>
          </w:tcPr>
          <w:p w14:paraId="350A0B04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</w:tr>
      <w:tr w:rsidR="00A1497D" w:rsidRPr="004010DB" w14:paraId="3EB15C04" w14:textId="77777777">
        <w:tc>
          <w:tcPr>
            <w:tcW w:w="748" w:type="dxa"/>
          </w:tcPr>
          <w:p w14:paraId="2E9EE07E" w14:textId="23189444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15h20</w:t>
            </w:r>
          </w:p>
        </w:tc>
        <w:tc>
          <w:tcPr>
            <w:tcW w:w="523" w:type="dxa"/>
          </w:tcPr>
          <w:p w14:paraId="6DD94A57" w14:textId="7150E5AF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7</w:t>
            </w:r>
          </w:p>
        </w:tc>
        <w:tc>
          <w:tcPr>
            <w:tcW w:w="6274" w:type="dxa"/>
          </w:tcPr>
          <w:p w14:paraId="4C4DEF49" w14:textId="5EFD47B0" w:rsidR="004010DB" w:rsidRPr="00E41E09" w:rsidRDefault="0047690A" w:rsidP="004010DB">
            <w:pPr>
              <w:pStyle w:val="P68B1DB1-Normal1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4010DB">
              <w:rPr>
                <w:lang w:val="fr-FR"/>
              </w:rPr>
              <w:t>spects juridiques</w:t>
            </w:r>
            <w:r w:rsidR="004010DB" w:rsidRPr="00E41E09">
              <w:rPr>
                <w:lang w:val="fr-FR"/>
              </w:rPr>
              <w:t xml:space="preserve"> (suite)</w:t>
            </w:r>
          </w:p>
          <w:p w14:paraId="20171638" w14:textId="17A8F736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  <w:tc>
          <w:tcPr>
            <w:tcW w:w="1471" w:type="dxa"/>
          </w:tcPr>
          <w:p w14:paraId="30BC3105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</w:tr>
      <w:tr w:rsidR="00A1497D" w:rsidRPr="00E41E09" w14:paraId="6B3F3F74" w14:textId="77777777">
        <w:tc>
          <w:tcPr>
            <w:tcW w:w="748" w:type="dxa"/>
          </w:tcPr>
          <w:p w14:paraId="3523DF11" w14:textId="26B1D032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16h45</w:t>
            </w:r>
          </w:p>
        </w:tc>
        <w:tc>
          <w:tcPr>
            <w:tcW w:w="523" w:type="dxa"/>
          </w:tcPr>
          <w:p w14:paraId="328A7211" w14:textId="4788569F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8</w:t>
            </w:r>
          </w:p>
        </w:tc>
        <w:tc>
          <w:tcPr>
            <w:tcW w:w="6274" w:type="dxa"/>
          </w:tcPr>
          <w:p w14:paraId="3C31724E" w14:textId="4405EE0E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 xml:space="preserve">Conclusions récapitulatives </w:t>
            </w:r>
          </w:p>
        </w:tc>
        <w:tc>
          <w:tcPr>
            <w:tcW w:w="1471" w:type="dxa"/>
          </w:tcPr>
          <w:p w14:paraId="4FFB0017" w14:textId="139E649C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Président</w:t>
            </w:r>
          </w:p>
        </w:tc>
      </w:tr>
      <w:tr w:rsidR="00A1497D" w:rsidRPr="00E41E09" w14:paraId="0F1D7CAA" w14:textId="77777777">
        <w:tc>
          <w:tcPr>
            <w:tcW w:w="748" w:type="dxa"/>
          </w:tcPr>
          <w:p w14:paraId="747241D2" w14:textId="53923658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1</w:t>
            </w:r>
            <w:r w:rsidR="00B00773">
              <w:rPr>
                <w:lang w:val="fr-FR"/>
              </w:rPr>
              <w:t>7</w:t>
            </w:r>
            <w:r w:rsidRPr="00E41E09">
              <w:rPr>
                <w:lang w:val="fr-FR"/>
              </w:rPr>
              <w:t>h00</w:t>
            </w:r>
          </w:p>
        </w:tc>
        <w:tc>
          <w:tcPr>
            <w:tcW w:w="523" w:type="dxa"/>
          </w:tcPr>
          <w:p w14:paraId="2B595E9E" w14:textId="546FE8E7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9</w:t>
            </w:r>
          </w:p>
        </w:tc>
        <w:tc>
          <w:tcPr>
            <w:tcW w:w="6274" w:type="dxa"/>
          </w:tcPr>
          <w:p w14:paraId="5E53F8B8" w14:textId="68EE33E8" w:rsidR="00A1497D" w:rsidRPr="00E41E09" w:rsidRDefault="00E41E09">
            <w:pPr>
              <w:pStyle w:val="P68B1DB1-Normal1"/>
              <w:rPr>
                <w:lang w:val="fr-FR"/>
              </w:rPr>
            </w:pPr>
            <w:r w:rsidRPr="00E41E09">
              <w:rPr>
                <w:lang w:val="fr-FR"/>
              </w:rPr>
              <w:t>Clôture de l</w:t>
            </w:r>
            <w:r w:rsidR="009B762A">
              <w:rPr>
                <w:lang w:val="fr-FR"/>
              </w:rPr>
              <w:t>’</w:t>
            </w:r>
            <w:r w:rsidRPr="00E41E09">
              <w:rPr>
                <w:lang w:val="fr-FR"/>
              </w:rPr>
              <w:t>atelier</w:t>
            </w:r>
          </w:p>
        </w:tc>
        <w:tc>
          <w:tcPr>
            <w:tcW w:w="1471" w:type="dxa"/>
          </w:tcPr>
          <w:p w14:paraId="5679862E" w14:textId="77777777" w:rsidR="00A1497D" w:rsidRPr="00E41E09" w:rsidRDefault="00A1497D">
            <w:pPr>
              <w:rPr>
                <w:rFonts w:asciiTheme="majorHAnsi" w:hAnsiTheme="majorHAnsi" w:cstheme="majorHAnsi"/>
                <w:b/>
                <w:sz w:val="22"/>
                <w:lang w:val="fr-FR"/>
              </w:rPr>
            </w:pPr>
          </w:p>
        </w:tc>
      </w:tr>
    </w:tbl>
    <w:p w14:paraId="33A39B77" w14:textId="2FB3A490" w:rsidR="00A1497D" w:rsidRPr="00E41E09" w:rsidRDefault="00A1497D">
      <w:pPr>
        <w:rPr>
          <w:rFonts w:asciiTheme="majorHAnsi" w:hAnsiTheme="majorHAnsi" w:cstheme="majorHAnsi"/>
          <w:b/>
          <w:sz w:val="22"/>
          <w:lang w:val="fr-FR"/>
        </w:rPr>
      </w:pPr>
    </w:p>
    <w:sectPr w:rsidR="00A1497D" w:rsidRPr="00E41E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080B"/>
    <w:multiLevelType w:val="hybridMultilevel"/>
    <w:tmpl w:val="952AF6B0"/>
    <w:lvl w:ilvl="0" w:tplc="87EAA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2CCA"/>
    <w:multiLevelType w:val="hybridMultilevel"/>
    <w:tmpl w:val="2A4401BE"/>
    <w:lvl w:ilvl="0" w:tplc="87EA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C92303"/>
    <w:multiLevelType w:val="multilevel"/>
    <w:tmpl w:val="B3126B9A"/>
    <w:styleLink w:val="StyleUN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45840769">
    <w:abstractNumId w:val="2"/>
  </w:num>
  <w:num w:numId="2" w16cid:durableId="1766264478">
    <w:abstractNumId w:val="1"/>
  </w:num>
  <w:num w:numId="3" w16cid:durableId="33757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BE"/>
    <w:rsid w:val="0014742A"/>
    <w:rsid w:val="001928EF"/>
    <w:rsid w:val="001A6BD7"/>
    <w:rsid w:val="001C5E76"/>
    <w:rsid w:val="00386A33"/>
    <w:rsid w:val="004010DB"/>
    <w:rsid w:val="0047690A"/>
    <w:rsid w:val="00652155"/>
    <w:rsid w:val="006B0DF0"/>
    <w:rsid w:val="006B61BE"/>
    <w:rsid w:val="00732373"/>
    <w:rsid w:val="007963B7"/>
    <w:rsid w:val="008560A7"/>
    <w:rsid w:val="009522F6"/>
    <w:rsid w:val="009A538A"/>
    <w:rsid w:val="009B762A"/>
    <w:rsid w:val="00A1497D"/>
    <w:rsid w:val="00AF35DF"/>
    <w:rsid w:val="00B00773"/>
    <w:rsid w:val="00B73309"/>
    <w:rsid w:val="00BC0950"/>
    <w:rsid w:val="00C821A7"/>
    <w:rsid w:val="00C96E10"/>
    <w:rsid w:val="00CD71A4"/>
    <w:rsid w:val="00D60604"/>
    <w:rsid w:val="00D77E1F"/>
    <w:rsid w:val="00E41E09"/>
    <w:rsid w:val="00FA021E"/>
    <w:rsid w:val="00FF2DDC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259C"/>
  <w15:chartTrackingRefBased/>
  <w15:docId w15:val="{E2D1770D-966B-47BD-AA54-2CC925C9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BE"/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UN">
    <w:name w:val="Style UN"/>
    <w:uiPriority w:val="99"/>
    <w:rsid w:val="00386A33"/>
    <w:pPr>
      <w:numPr>
        <w:numId w:val="1"/>
      </w:numPr>
    </w:pPr>
  </w:style>
  <w:style w:type="table" w:styleId="TableGrid">
    <w:name w:val="Table Grid"/>
    <w:basedOn w:val="TableNormal"/>
    <w:uiPriority w:val="39"/>
    <w:rsid w:val="006B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3B7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Theme="majorHAnsi" w:hAnsiTheme="majorHAnsi" w:cstheme="majorHAnsi"/>
      <w:b/>
      <w:sz w:val="22"/>
    </w:rPr>
  </w:style>
  <w:style w:type="paragraph" w:customStyle="1" w:styleId="P68B1DB1-ListParagraph2">
    <w:name w:val="P68B1DB1-ListParagraph2"/>
    <w:basedOn w:val="ListParagraph"/>
    <w:rPr>
      <w:rFonts w:asciiTheme="majorHAnsi" w:hAnsiTheme="majorHAnsi" w:cstheme="maj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Swan</dc:creator>
  <cp:keywords/>
  <dc:description/>
  <cp:lastModifiedBy>Subhas Chandra Bauljeewon</cp:lastModifiedBy>
  <cp:revision>3</cp:revision>
  <dcterms:created xsi:type="dcterms:W3CDTF">2023-01-24T04:50:00Z</dcterms:created>
  <dcterms:modified xsi:type="dcterms:W3CDTF">2023-01-24T04:50:00Z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0048a0ae7da1ba1399393e60968dd9f87c2a911fc37ff8189e1ec383b0755857</vt:lpwstr>
  </property>
</Properties>
</file>