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BE99" w14:textId="5E055CF8" w:rsidR="006B61BE" w:rsidRDefault="006B61BE" w:rsidP="006B61BE">
      <w:pPr>
        <w:jc w:val="center"/>
        <w:rPr>
          <w:rFonts w:asciiTheme="majorHAnsi" w:hAnsiTheme="majorHAnsi" w:cstheme="majorHAnsi"/>
          <w:b/>
          <w:sz w:val="22"/>
          <w:szCs w:val="22"/>
          <w:lang w:val="en-US"/>
        </w:rPr>
      </w:pPr>
      <w:r>
        <w:rPr>
          <w:rFonts w:asciiTheme="majorHAnsi" w:hAnsiTheme="majorHAnsi" w:cstheme="majorHAnsi"/>
          <w:b/>
          <w:sz w:val="22"/>
          <w:szCs w:val="22"/>
          <w:lang w:val="en-US"/>
        </w:rPr>
        <w:t>WORKSHOP TO CONSIDER THE DRAFT</w:t>
      </w:r>
    </w:p>
    <w:p w14:paraId="33CB0076" w14:textId="40C06138" w:rsidR="006B61BE" w:rsidRDefault="006B61BE" w:rsidP="006B61BE">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AGREEMENT AMONG THE PARTICIPATING STATES OF THE INDIAN OCEAN COMMISSION REGIONAL FISHERIES SURVEILLANCE PLAN FOR THE ESTABLISHMENT OF REGIONAL MECHANISMS FOR THE EXCHANGE OF FISHERIES INFORMATION FOR THE PURPOSE OF MONITORING CONTROL AND SURVEILLANCE (MCS)</w:t>
      </w:r>
    </w:p>
    <w:p w14:paraId="2F5E69CD" w14:textId="22A92DAE" w:rsidR="006B61BE" w:rsidRDefault="006B61BE" w:rsidP="006B61BE">
      <w:pPr>
        <w:jc w:val="center"/>
        <w:rPr>
          <w:rFonts w:asciiTheme="majorHAnsi" w:hAnsiTheme="majorHAnsi" w:cstheme="majorHAnsi"/>
          <w:b/>
          <w:sz w:val="22"/>
          <w:szCs w:val="22"/>
          <w:lang w:val="en-US"/>
        </w:rPr>
      </w:pPr>
    </w:p>
    <w:p w14:paraId="4F4A21EF" w14:textId="72DCDE31" w:rsidR="006B61BE" w:rsidRDefault="006B61BE" w:rsidP="006B61BE">
      <w:pPr>
        <w:jc w:val="center"/>
        <w:rPr>
          <w:rFonts w:asciiTheme="majorHAnsi" w:hAnsiTheme="majorHAnsi" w:cstheme="majorHAnsi"/>
          <w:b/>
          <w:sz w:val="22"/>
          <w:szCs w:val="22"/>
          <w:lang w:val="en-US"/>
        </w:rPr>
      </w:pPr>
      <w:r>
        <w:rPr>
          <w:rFonts w:asciiTheme="majorHAnsi" w:hAnsiTheme="majorHAnsi" w:cstheme="majorHAnsi"/>
          <w:b/>
          <w:sz w:val="22"/>
          <w:szCs w:val="22"/>
          <w:lang w:val="en-US"/>
        </w:rPr>
        <w:t>31 January 2023</w:t>
      </w:r>
    </w:p>
    <w:p w14:paraId="206E5FF3" w14:textId="60BBFA0E" w:rsidR="006B61BE" w:rsidRDefault="006B61BE" w:rsidP="006B61BE">
      <w:pPr>
        <w:jc w:val="center"/>
        <w:rPr>
          <w:rFonts w:asciiTheme="majorHAnsi" w:hAnsiTheme="majorHAnsi" w:cstheme="majorHAnsi"/>
          <w:b/>
          <w:sz w:val="22"/>
          <w:szCs w:val="22"/>
          <w:lang w:val="en-US"/>
        </w:rPr>
      </w:pPr>
      <w:r w:rsidRPr="006B61BE">
        <w:rPr>
          <w:rFonts w:asciiTheme="majorHAnsi" w:hAnsiTheme="majorHAnsi" w:cstheme="majorHAnsi"/>
          <w:b/>
          <w:sz w:val="22"/>
          <w:szCs w:val="22"/>
          <w:lang w:val="en-US"/>
        </w:rPr>
        <w:t>Tulip Inn Sainte-Clotilde La Réunion</w:t>
      </w:r>
    </w:p>
    <w:p w14:paraId="2674E72B" w14:textId="6DD52EAA" w:rsidR="006B61BE" w:rsidRDefault="006B61BE" w:rsidP="006B61BE">
      <w:pPr>
        <w:jc w:val="center"/>
        <w:rPr>
          <w:rFonts w:asciiTheme="majorHAnsi" w:hAnsiTheme="majorHAnsi" w:cstheme="majorHAnsi"/>
          <w:b/>
          <w:sz w:val="22"/>
          <w:szCs w:val="22"/>
          <w:lang w:val="en-US"/>
        </w:rPr>
      </w:pPr>
    </w:p>
    <w:p w14:paraId="266C2BFE" w14:textId="2C274E09" w:rsidR="006B61BE" w:rsidRDefault="006B61BE" w:rsidP="006B61BE">
      <w:pPr>
        <w:jc w:val="center"/>
        <w:rPr>
          <w:rFonts w:asciiTheme="majorHAnsi" w:hAnsiTheme="majorHAnsi" w:cstheme="majorHAnsi"/>
          <w:b/>
          <w:sz w:val="22"/>
          <w:szCs w:val="22"/>
          <w:lang w:val="en-US"/>
        </w:rPr>
      </w:pPr>
      <w:r>
        <w:rPr>
          <w:rFonts w:asciiTheme="majorHAnsi" w:hAnsiTheme="majorHAnsi" w:cstheme="majorHAnsi"/>
          <w:b/>
          <w:sz w:val="22"/>
          <w:szCs w:val="22"/>
          <w:lang w:val="en-US"/>
        </w:rPr>
        <w:t>DRAFT AGENDA</w:t>
      </w:r>
    </w:p>
    <w:p w14:paraId="2B360125" w14:textId="51D6AC7A" w:rsidR="006B61BE" w:rsidRDefault="006B61BE" w:rsidP="006B61BE">
      <w:pPr>
        <w:jc w:val="center"/>
        <w:rPr>
          <w:rFonts w:asciiTheme="majorHAnsi" w:hAnsiTheme="majorHAnsi" w:cstheme="majorHAnsi"/>
          <w:b/>
          <w:sz w:val="22"/>
          <w:szCs w:val="22"/>
          <w:lang w:val="en-US"/>
        </w:rPr>
      </w:pPr>
    </w:p>
    <w:tbl>
      <w:tblPr>
        <w:tblStyle w:val="TableGrid"/>
        <w:tblW w:w="9016" w:type="dxa"/>
        <w:tblLook w:val="04A0" w:firstRow="1" w:lastRow="0" w:firstColumn="1" w:lastColumn="0" w:noHBand="0" w:noVBand="1"/>
      </w:tblPr>
      <w:tblGrid>
        <w:gridCol w:w="748"/>
        <w:gridCol w:w="523"/>
        <w:gridCol w:w="6274"/>
        <w:gridCol w:w="1471"/>
      </w:tblGrid>
      <w:tr w:rsidR="00BC0950" w14:paraId="205845D7" w14:textId="77777777" w:rsidTr="00BC0950">
        <w:tc>
          <w:tcPr>
            <w:tcW w:w="748" w:type="dxa"/>
          </w:tcPr>
          <w:p w14:paraId="08D48302" w14:textId="568493C6"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0830</w:t>
            </w:r>
          </w:p>
        </w:tc>
        <w:tc>
          <w:tcPr>
            <w:tcW w:w="523" w:type="dxa"/>
          </w:tcPr>
          <w:p w14:paraId="7C839B30" w14:textId="77777777" w:rsidR="00BC0950" w:rsidRDefault="00BC0950" w:rsidP="006B61BE">
            <w:pPr>
              <w:rPr>
                <w:rFonts w:asciiTheme="majorHAnsi" w:hAnsiTheme="majorHAnsi" w:cstheme="majorHAnsi"/>
                <w:b/>
                <w:sz w:val="22"/>
                <w:szCs w:val="22"/>
                <w:lang w:val="en-US"/>
              </w:rPr>
            </w:pPr>
          </w:p>
        </w:tc>
        <w:tc>
          <w:tcPr>
            <w:tcW w:w="6274" w:type="dxa"/>
          </w:tcPr>
          <w:p w14:paraId="5BB28A17" w14:textId="3CD618D6"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Welcome and background</w:t>
            </w:r>
          </w:p>
        </w:tc>
        <w:tc>
          <w:tcPr>
            <w:tcW w:w="1471" w:type="dxa"/>
          </w:tcPr>
          <w:p w14:paraId="6B686E31" w14:textId="5F4A721A"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Mr. Jude Talma</w:t>
            </w:r>
          </w:p>
        </w:tc>
      </w:tr>
      <w:tr w:rsidR="00BC0950" w14:paraId="1C911171" w14:textId="77777777" w:rsidTr="00BC0950">
        <w:tc>
          <w:tcPr>
            <w:tcW w:w="748" w:type="dxa"/>
          </w:tcPr>
          <w:p w14:paraId="757BFC47" w14:textId="20B806D6"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0845</w:t>
            </w:r>
          </w:p>
        </w:tc>
        <w:tc>
          <w:tcPr>
            <w:tcW w:w="523" w:type="dxa"/>
          </w:tcPr>
          <w:p w14:paraId="7F51AA41" w14:textId="3BB3CF7C"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w:t>
            </w:r>
          </w:p>
        </w:tc>
        <w:tc>
          <w:tcPr>
            <w:tcW w:w="6274" w:type="dxa"/>
          </w:tcPr>
          <w:p w14:paraId="308A3252" w14:textId="5FE56B49"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Opening</w:t>
            </w:r>
          </w:p>
        </w:tc>
        <w:tc>
          <w:tcPr>
            <w:tcW w:w="1471" w:type="dxa"/>
          </w:tcPr>
          <w:p w14:paraId="40B93773" w14:textId="7EB7A2A1" w:rsidR="00BC0950" w:rsidRDefault="00CD71A4" w:rsidP="006B61BE">
            <w:pPr>
              <w:rPr>
                <w:rFonts w:asciiTheme="majorHAnsi" w:hAnsiTheme="majorHAnsi" w:cstheme="majorHAnsi"/>
                <w:b/>
                <w:sz w:val="22"/>
                <w:szCs w:val="22"/>
                <w:lang w:val="en-US"/>
              </w:rPr>
            </w:pPr>
            <w:r>
              <w:rPr>
                <w:rFonts w:asciiTheme="majorHAnsi" w:hAnsiTheme="majorHAnsi" w:cstheme="majorHAnsi"/>
                <w:b/>
                <w:sz w:val="22"/>
                <w:szCs w:val="22"/>
                <w:lang w:val="en-US"/>
              </w:rPr>
              <w:t>IOC</w:t>
            </w:r>
          </w:p>
        </w:tc>
      </w:tr>
      <w:tr w:rsidR="00BC0950" w14:paraId="4C1BB2C0" w14:textId="77777777" w:rsidTr="00BC0950">
        <w:tc>
          <w:tcPr>
            <w:tcW w:w="748" w:type="dxa"/>
          </w:tcPr>
          <w:p w14:paraId="0456EDA7" w14:textId="30D125C8"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0855</w:t>
            </w:r>
          </w:p>
        </w:tc>
        <w:tc>
          <w:tcPr>
            <w:tcW w:w="523" w:type="dxa"/>
          </w:tcPr>
          <w:p w14:paraId="69EC68F2" w14:textId="7C2B8F4D"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2</w:t>
            </w:r>
          </w:p>
        </w:tc>
        <w:tc>
          <w:tcPr>
            <w:tcW w:w="6274" w:type="dxa"/>
          </w:tcPr>
          <w:p w14:paraId="15E7CBBB" w14:textId="7AFD7E8A"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Introduction of Participants</w:t>
            </w:r>
          </w:p>
        </w:tc>
        <w:tc>
          <w:tcPr>
            <w:tcW w:w="1471" w:type="dxa"/>
          </w:tcPr>
          <w:p w14:paraId="787F70EA" w14:textId="0C085209"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Chair</w:t>
            </w:r>
          </w:p>
        </w:tc>
      </w:tr>
      <w:tr w:rsidR="00BC0950" w14:paraId="46D007F9" w14:textId="77777777" w:rsidTr="00BC0950">
        <w:tc>
          <w:tcPr>
            <w:tcW w:w="748" w:type="dxa"/>
          </w:tcPr>
          <w:p w14:paraId="5DA53F66" w14:textId="6630F1D5"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0900</w:t>
            </w:r>
          </w:p>
        </w:tc>
        <w:tc>
          <w:tcPr>
            <w:tcW w:w="523" w:type="dxa"/>
          </w:tcPr>
          <w:p w14:paraId="12BD62E4" w14:textId="2E257336" w:rsidR="00BC0950" w:rsidRDefault="00BC0950" w:rsidP="007963B7">
            <w:pPr>
              <w:rPr>
                <w:rFonts w:asciiTheme="majorHAnsi" w:hAnsiTheme="majorHAnsi" w:cstheme="majorHAnsi"/>
                <w:b/>
                <w:sz w:val="22"/>
                <w:szCs w:val="22"/>
                <w:lang w:val="en-US"/>
              </w:rPr>
            </w:pPr>
            <w:r>
              <w:rPr>
                <w:rFonts w:asciiTheme="majorHAnsi" w:hAnsiTheme="majorHAnsi" w:cstheme="majorHAnsi"/>
                <w:b/>
                <w:sz w:val="22"/>
                <w:szCs w:val="22"/>
                <w:lang w:val="en-US"/>
              </w:rPr>
              <w:t>3</w:t>
            </w:r>
          </w:p>
        </w:tc>
        <w:tc>
          <w:tcPr>
            <w:tcW w:w="6274" w:type="dxa"/>
          </w:tcPr>
          <w:p w14:paraId="59FB024C" w14:textId="2D82ECA6" w:rsidR="00BC0950" w:rsidRDefault="00BC0950" w:rsidP="007963B7">
            <w:pPr>
              <w:rPr>
                <w:rFonts w:asciiTheme="majorHAnsi" w:hAnsiTheme="majorHAnsi" w:cstheme="majorHAnsi"/>
                <w:b/>
                <w:sz w:val="22"/>
                <w:szCs w:val="22"/>
                <w:lang w:val="en-US"/>
              </w:rPr>
            </w:pPr>
            <w:r>
              <w:rPr>
                <w:rFonts w:asciiTheme="majorHAnsi" w:hAnsiTheme="majorHAnsi" w:cstheme="majorHAnsi"/>
                <w:b/>
                <w:sz w:val="22"/>
                <w:szCs w:val="22"/>
                <w:lang w:val="en-US"/>
              </w:rPr>
              <w:t>Summary introduction to the draft Agreement and introductory report on amendments proposed for legal reasons</w:t>
            </w:r>
          </w:p>
          <w:p w14:paraId="62B48E07" w14:textId="729F01CE" w:rsidR="00BC0950" w:rsidRDefault="00BC0950" w:rsidP="006B61BE">
            <w:pPr>
              <w:rPr>
                <w:rFonts w:asciiTheme="majorHAnsi" w:hAnsiTheme="majorHAnsi" w:cstheme="majorHAnsi"/>
                <w:b/>
                <w:sz w:val="22"/>
                <w:szCs w:val="22"/>
                <w:lang w:val="en-US"/>
              </w:rPr>
            </w:pPr>
          </w:p>
          <w:p w14:paraId="519C5F30" w14:textId="77777777" w:rsidR="00BC0950" w:rsidRPr="007963B7" w:rsidRDefault="00BC0950" w:rsidP="007963B7">
            <w:pPr>
              <w:pStyle w:val="ListParagraph"/>
              <w:numPr>
                <w:ilvl w:val="0"/>
                <w:numId w:val="2"/>
              </w:numPr>
              <w:rPr>
                <w:rFonts w:asciiTheme="majorHAnsi" w:hAnsiTheme="majorHAnsi" w:cstheme="majorHAnsi"/>
                <w:b/>
                <w:sz w:val="22"/>
                <w:szCs w:val="22"/>
                <w:lang w:val="en-US"/>
              </w:rPr>
            </w:pPr>
            <w:r w:rsidRPr="007963B7">
              <w:rPr>
                <w:rFonts w:asciiTheme="majorHAnsi" w:hAnsiTheme="majorHAnsi" w:cstheme="majorHAnsi"/>
                <w:b/>
                <w:sz w:val="22"/>
                <w:szCs w:val="22"/>
                <w:lang w:val="en-US"/>
              </w:rPr>
              <w:t>Use of terms</w:t>
            </w:r>
          </w:p>
          <w:p w14:paraId="30D8A145" w14:textId="071C16D9" w:rsidR="00BC0950" w:rsidRPr="007963B7" w:rsidRDefault="00BC0950" w:rsidP="007963B7">
            <w:pPr>
              <w:pStyle w:val="ListParagraph"/>
              <w:numPr>
                <w:ilvl w:val="0"/>
                <w:numId w:val="2"/>
              </w:numPr>
              <w:rPr>
                <w:rFonts w:asciiTheme="majorHAnsi" w:hAnsiTheme="majorHAnsi" w:cstheme="majorHAnsi"/>
                <w:b/>
                <w:sz w:val="22"/>
                <w:szCs w:val="22"/>
                <w:lang w:val="en-US"/>
              </w:rPr>
            </w:pPr>
            <w:r w:rsidRPr="007963B7">
              <w:rPr>
                <w:rFonts w:asciiTheme="majorHAnsi" w:hAnsiTheme="majorHAnsi" w:cstheme="majorHAnsi"/>
                <w:b/>
                <w:sz w:val="22"/>
                <w:szCs w:val="22"/>
                <w:lang w:val="en-US"/>
              </w:rPr>
              <w:t>Objective and re</w:t>
            </w:r>
            <w:r>
              <w:rPr>
                <w:rFonts w:asciiTheme="majorHAnsi" w:hAnsiTheme="majorHAnsi" w:cstheme="majorHAnsi"/>
                <w:b/>
                <w:sz w:val="22"/>
                <w:szCs w:val="22"/>
                <w:lang w:val="en-US"/>
              </w:rPr>
              <w:t>gional</w:t>
            </w:r>
            <w:r w:rsidRPr="007963B7">
              <w:rPr>
                <w:rFonts w:asciiTheme="majorHAnsi" w:hAnsiTheme="majorHAnsi" w:cstheme="majorHAnsi"/>
                <w:b/>
                <w:sz w:val="22"/>
                <w:szCs w:val="22"/>
                <w:lang w:val="en-US"/>
              </w:rPr>
              <w:t xml:space="preserve"> cooperation framework</w:t>
            </w:r>
          </w:p>
          <w:p w14:paraId="0B5D78A5" w14:textId="052BD877" w:rsidR="00BC0950" w:rsidRPr="001928EF"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 xml:space="preserve">4.    </w:t>
            </w:r>
            <w:r w:rsidRPr="001928EF">
              <w:rPr>
                <w:rFonts w:asciiTheme="majorHAnsi" w:hAnsiTheme="majorHAnsi" w:cstheme="majorHAnsi"/>
                <w:b/>
                <w:sz w:val="22"/>
                <w:szCs w:val="22"/>
                <w:lang w:val="en-US"/>
              </w:rPr>
              <w:t>Parties and partners to this Agreement</w:t>
            </w:r>
          </w:p>
          <w:p w14:paraId="793ECD91" w14:textId="77777777" w:rsidR="00BC0950"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 xml:space="preserve">5.    </w:t>
            </w:r>
            <w:r w:rsidRPr="001928EF">
              <w:rPr>
                <w:rFonts w:asciiTheme="majorHAnsi" w:hAnsiTheme="majorHAnsi" w:cstheme="majorHAnsi"/>
                <w:b/>
                <w:sz w:val="22"/>
                <w:szCs w:val="22"/>
                <w:lang w:val="en-US"/>
              </w:rPr>
              <w:t>General Principles</w:t>
            </w:r>
          </w:p>
          <w:p w14:paraId="37E1BB35" w14:textId="62F912FF" w:rsidR="00BC0950"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 xml:space="preserve">6.    Responsibilities of the Parties (Note Seychelles and Tanzania     </w:t>
            </w:r>
            <w:r>
              <w:rPr>
                <w:rFonts w:asciiTheme="majorHAnsi" w:hAnsiTheme="majorHAnsi" w:cstheme="majorHAnsi"/>
                <w:b/>
                <w:sz w:val="22"/>
                <w:szCs w:val="22"/>
                <w:lang w:val="en-US"/>
              </w:rPr>
              <w:tab/>
              <w:t>may wish to provide new language for paragraph 3)</w:t>
            </w:r>
          </w:p>
          <w:p w14:paraId="179A23D9" w14:textId="77777777" w:rsidR="00BC0950"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19.  Withdrawal and suspension</w:t>
            </w:r>
          </w:p>
          <w:p w14:paraId="5F648400" w14:textId="77777777" w:rsidR="00BC0950"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20.   Protective measures of suspension</w:t>
            </w:r>
          </w:p>
          <w:p w14:paraId="118D363C" w14:textId="77777777" w:rsidR="00BC0950"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21.   Reservations and exceptions</w:t>
            </w:r>
          </w:p>
          <w:p w14:paraId="2D7FCFFB" w14:textId="775A103F" w:rsidR="00BC0950"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22.   Relation to other Agreements</w:t>
            </w:r>
          </w:p>
          <w:p w14:paraId="09A36ED0" w14:textId="77777777" w:rsidR="00BC0950"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23.   Depositary</w:t>
            </w:r>
          </w:p>
          <w:p w14:paraId="277E091E" w14:textId="16F3A21E" w:rsidR="00BC0950" w:rsidRPr="001928EF" w:rsidRDefault="00BC0950" w:rsidP="001928EF">
            <w:pPr>
              <w:rPr>
                <w:rFonts w:asciiTheme="majorHAnsi" w:hAnsiTheme="majorHAnsi" w:cstheme="majorHAnsi"/>
                <w:b/>
                <w:sz w:val="22"/>
                <w:szCs w:val="22"/>
                <w:lang w:val="en-US"/>
              </w:rPr>
            </w:pPr>
            <w:r>
              <w:rPr>
                <w:rFonts w:asciiTheme="majorHAnsi" w:hAnsiTheme="majorHAnsi" w:cstheme="majorHAnsi"/>
                <w:b/>
                <w:sz w:val="22"/>
                <w:szCs w:val="22"/>
                <w:lang w:val="en-US"/>
              </w:rPr>
              <w:t>24.   Authentic texts</w:t>
            </w:r>
          </w:p>
        </w:tc>
        <w:tc>
          <w:tcPr>
            <w:tcW w:w="1471" w:type="dxa"/>
          </w:tcPr>
          <w:p w14:paraId="29308E4E" w14:textId="5D9FDE4F"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 xml:space="preserve"> Judith Swan</w:t>
            </w:r>
          </w:p>
        </w:tc>
      </w:tr>
      <w:tr w:rsidR="00BC0950" w14:paraId="768F31B6" w14:textId="77777777" w:rsidTr="00BC0950">
        <w:tc>
          <w:tcPr>
            <w:tcW w:w="748" w:type="dxa"/>
          </w:tcPr>
          <w:p w14:paraId="3191CC5D" w14:textId="550DA083"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09</w:t>
            </w:r>
            <w:r w:rsidR="00652155">
              <w:rPr>
                <w:rFonts w:asciiTheme="majorHAnsi" w:hAnsiTheme="majorHAnsi" w:cstheme="majorHAnsi"/>
                <w:b/>
                <w:sz w:val="22"/>
                <w:szCs w:val="22"/>
                <w:lang w:val="en-US"/>
              </w:rPr>
              <w:t>15</w:t>
            </w:r>
          </w:p>
        </w:tc>
        <w:tc>
          <w:tcPr>
            <w:tcW w:w="523" w:type="dxa"/>
          </w:tcPr>
          <w:p w14:paraId="16BA5307" w14:textId="6DC1AA5E" w:rsidR="00BC0950" w:rsidRDefault="00BC0950" w:rsidP="007963B7">
            <w:pPr>
              <w:rPr>
                <w:rFonts w:asciiTheme="majorHAnsi" w:hAnsiTheme="majorHAnsi" w:cstheme="majorHAnsi"/>
                <w:b/>
                <w:sz w:val="22"/>
                <w:szCs w:val="22"/>
                <w:lang w:val="en-US"/>
              </w:rPr>
            </w:pPr>
            <w:r>
              <w:rPr>
                <w:rFonts w:asciiTheme="majorHAnsi" w:hAnsiTheme="majorHAnsi" w:cstheme="majorHAnsi"/>
                <w:b/>
                <w:sz w:val="22"/>
                <w:szCs w:val="22"/>
                <w:lang w:val="en-US"/>
              </w:rPr>
              <w:t>4</w:t>
            </w:r>
          </w:p>
        </w:tc>
        <w:tc>
          <w:tcPr>
            <w:tcW w:w="6274" w:type="dxa"/>
          </w:tcPr>
          <w:p w14:paraId="5BB81D04" w14:textId="06877C5B" w:rsidR="00BC0950" w:rsidRDefault="00BC0950" w:rsidP="007963B7">
            <w:pPr>
              <w:rPr>
                <w:rFonts w:asciiTheme="majorHAnsi" w:hAnsiTheme="majorHAnsi" w:cstheme="majorHAnsi"/>
                <w:b/>
                <w:sz w:val="22"/>
                <w:szCs w:val="22"/>
                <w:lang w:val="en-US"/>
              </w:rPr>
            </w:pPr>
            <w:r>
              <w:rPr>
                <w:rFonts w:asciiTheme="majorHAnsi" w:hAnsiTheme="majorHAnsi" w:cstheme="majorHAnsi"/>
                <w:b/>
                <w:sz w:val="22"/>
                <w:szCs w:val="22"/>
                <w:lang w:val="en-US"/>
              </w:rPr>
              <w:t>Consideration of technical matters to be agreed:</w:t>
            </w:r>
          </w:p>
          <w:p w14:paraId="1C84CEBE" w14:textId="77777777" w:rsidR="00BC0950" w:rsidRDefault="00BC0950" w:rsidP="007963B7">
            <w:pPr>
              <w:rPr>
                <w:rFonts w:asciiTheme="majorHAnsi" w:hAnsiTheme="majorHAnsi" w:cstheme="majorHAnsi"/>
                <w:b/>
                <w:sz w:val="22"/>
                <w:szCs w:val="22"/>
                <w:lang w:val="en-US"/>
              </w:rPr>
            </w:pPr>
          </w:p>
          <w:p w14:paraId="04B58C0A" w14:textId="1DB0CC5C" w:rsidR="00BC0950" w:rsidRDefault="00BC0950" w:rsidP="007963B7">
            <w:pPr>
              <w:rPr>
                <w:rFonts w:asciiTheme="majorHAnsi" w:hAnsiTheme="majorHAnsi" w:cstheme="majorHAnsi"/>
                <w:b/>
                <w:sz w:val="22"/>
                <w:szCs w:val="22"/>
                <w:lang w:val="en-US"/>
              </w:rPr>
            </w:pPr>
            <w:r>
              <w:rPr>
                <w:rFonts w:asciiTheme="majorHAnsi" w:hAnsiTheme="majorHAnsi" w:cstheme="majorHAnsi"/>
                <w:b/>
                <w:sz w:val="22"/>
                <w:szCs w:val="22"/>
                <w:lang w:val="en-US"/>
              </w:rPr>
              <w:t>3    Application (Annex 1 - Zone of Cooperation)</w:t>
            </w:r>
          </w:p>
          <w:p w14:paraId="229C95FA" w14:textId="32A22047" w:rsidR="00BC0950" w:rsidRDefault="00BC0950" w:rsidP="007963B7">
            <w:pPr>
              <w:rPr>
                <w:rFonts w:asciiTheme="majorHAnsi" w:hAnsiTheme="majorHAnsi" w:cstheme="majorHAnsi"/>
                <w:b/>
                <w:sz w:val="22"/>
                <w:szCs w:val="22"/>
                <w:lang w:val="en-US"/>
              </w:rPr>
            </w:pPr>
            <w:r>
              <w:rPr>
                <w:rFonts w:asciiTheme="majorHAnsi" w:hAnsiTheme="majorHAnsi" w:cstheme="majorHAnsi"/>
                <w:b/>
                <w:sz w:val="22"/>
                <w:szCs w:val="22"/>
                <w:lang w:val="en-US"/>
              </w:rPr>
              <w:t>7    Fisheries information exchange (including Annex II)</w:t>
            </w:r>
          </w:p>
          <w:p w14:paraId="0329CDBB" w14:textId="5772D734" w:rsidR="00BC0950" w:rsidRDefault="00BC0950" w:rsidP="00FF2DDC">
            <w:pPr>
              <w:rPr>
                <w:rFonts w:asciiTheme="majorHAnsi" w:hAnsiTheme="majorHAnsi" w:cstheme="majorHAnsi"/>
                <w:b/>
                <w:sz w:val="22"/>
                <w:szCs w:val="22"/>
                <w:lang w:val="en-US"/>
              </w:rPr>
            </w:pPr>
            <w:r w:rsidRPr="00FF2DDC">
              <w:rPr>
                <w:rFonts w:asciiTheme="majorHAnsi" w:hAnsiTheme="majorHAnsi" w:cstheme="majorHAnsi"/>
                <w:b/>
                <w:sz w:val="22"/>
                <w:szCs w:val="22"/>
                <w:lang w:val="en-US"/>
              </w:rPr>
              <w:t>8</w:t>
            </w:r>
            <w:r>
              <w:rPr>
                <w:rFonts w:asciiTheme="majorHAnsi" w:hAnsiTheme="majorHAnsi" w:cstheme="majorHAnsi"/>
                <w:b/>
                <w:sz w:val="22"/>
                <w:szCs w:val="22"/>
                <w:lang w:val="en-US"/>
              </w:rPr>
              <w:t xml:space="preserve">    </w:t>
            </w:r>
            <w:r w:rsidRPr="00FF2DDC">
              <w:rPr>
                <w:rFonts w:asciiTheme="majorHAnsi" w:hAnsiTheme="majorHAnsi" w:cstheme="majorHAnsi"/>
                <w:b/>
                <w:sz w:val="22"/>
                <w:szCs w:val="22"/>
                <w:lang w:val="en-US"/>
              </w:rPr>
              <w:t>Location of the regional server and data security</w:t>
            </w:r>
          </w:p>
          <w:p w14:paraId="1B0488FA" w14:textId="090FD4BD" w:rsidR="00BC0950" w:rsidRDefault="00BC0950" w:rsidP="00FF2DDC">
            <w:pPr>
              <w:rPr>
                <w:rFonts w:asciiTheme="majorHAnsi" w:hAnsiTheme="majorHAnsi" w:cstheme="majorHAnsi"/>
                <w:b/>
                <w:sz w:val="22"/>
                <w:szCs w:val="22"/>
                <w:lang w:val="en-US"/>
              </w:rPr>
            </w:pPr>
            <w:r>
              <w:rPr>
                <w:rFonts w:asciiTheme="majorHAnsi" w:hAnsiTheme="majorHAnsi" w:cstheme="majorHAnsi"/>
                <w:b/>
                <w:sz w:val="22"/>
                <w:szCs w:val="22"/>
                <w:lang w:val="en-US"/>
              </w:rPr>
              <w:t xml:space="preserve">9    </w:t>
            </w:r>
            <w:r w:rsidRPr="00FF2DDC">
              <w:rPr>
                <w:rFonts w:asciiTheme="majorHAnsi" w:hAnsiTheme="majorHAnsi" w:cstheme="majorHAnsi"/>
                <w:b/>
                <w:sz w:val="22"/>
                <w:szCs w:val="22"/>
                <w:lang w:val="en-US"/>
              </w:rPr>
              <w:t>Access to fisheries information</w:t>
            </w:r>
          </w:p>
          <w:p w14:paraId="2A81F6D2" w14:textId="6E2F182E" w:rsidR="00BC0950" w:rsidRDefault="00BC0950" w:rsidP="007963B7">
            <w:pPr>
              <w:rPr>
                <w:rFonts w:asciiTheme="majorHAnsi" w:hAnsiTheme="majorHAnsi" w:cstheme="majorHAnsi"/>
                <w:b/>
                <w:sz w:val="22"/>
                <w:szCs w:val="22"/>
                <w:lang w:val="en-US"/>
              </w:rPr>
            </w:pPr>
            <w:proofErr w:type="gramStart"/>
            <w:r>
              <w:rPr>
                <w:rFonts w:asciiTheme="majorHAnsi" w:hAnsiTheme="majorHAnsi" w:cstheme="majorHAnsi"/>
                <w:b/>
                <w:sz w:val="22"/>
                <w:szCs w:val="22"/>
                <w:lang w:val="en-US"/>
              </w:rPr>
              <w:t>10  Procedure</w:t>
            </w:r>
            <w:proofErr w:type="gramEnd"/>
            <w:r>
              <w:rPr>
                <w:rFonts w:asciiTheme="majorHAnsi" w:hAnsiTheme="majorHAnsi" w:cstheme="majorHAnsi"/>
                <w:b/>
                <w:sz w:val="22"/>
                <w:szCs w:val="22"/>
                <w:lang w:val="en-US"/>
              </w:rPr>
              <w:t xml:space="preserve"> for the exchange and sharing of fisheries     </w:t>
            </w:r>
            <w:r>
              <w:rPr>
                <w:rFonts w:asciiTheme="majorHAnsi" w:hAnsiTheme="majorHAnsi" w:cstheme="majorHAnsi"/>
                <w:b/>
                <w:sz w:val="22"/>
                <w:szCs w:val="22"/>
                <w:lang w:val="en-US"/>
              </w:rPr>
              <w:tab/>
              <w:t>information</w:t>
            </w:r>
          </w:p>
          <w:p w14:paraId="1FADF226" w14:textId="7F38D8AE" w:rsidR="00BC0950" w:rsidRDefault="00BC0950" w:rsidP="00FF2DDC">
            <w:pPr>
              <w:rPr>
                <w:rFonts w:asciiTheme="majorHAnsi" w:hAnsiTheme="majorHAnsi" w:cstheme="majorHAnsi"/>
                <w:b/>
                <w:sz w:val="22"/>
                <w:szCs w:val="22"/>
                <w:lang w:val="en-US"/>
              </w:rPr>
            </w:pPr>
            <w:proofErr w:type="gramStart"/>
            <w:r w:rsidRPr="00FF2DDC">
              <w:rPr>
                <w:rFonts w:asciiTheme="majorHAnsi" w:hAnsiTheme="majorHAnsi" w:cstheme="majorHAnsi"/>
                <w:b/>
                <w:sz w:val="22"/>
                <w:szCs w:val="22"/>
                <w:lang w:val="en-US"/>
              </w:rPr>
              <w:t>11</w:t>
            </w:r>
            <w:r>
              <w:rPr>
                <w:rFonts w:asciiTheme="majorHAnsi" w:hAnsiTheme="majorHAnsi" w:cstheme="majorHAnsi"/>
                <w:b/>
                <w:sz w:val="22"/>
                <w:szCs w:val="22"/>
                <w:lang w:val="en-US"/>
              </w:rPr>
              <w:t xml:space="preserve">  </w:t>
            </w:r>
            <w:r w:rsidRPr="00FF2DDC">
              <w:rPr>
                <w:rFonts w:asciiTheme="majorHAnsi" w:hAnsiTheme="majorHAnsi" w:cstheme="majorHAnsi"/>
                <w:b/>
                <w:sz w:val="22"/>
                <w:szCs w:val="22"/>
                <w:lang w:val="en-US"/>
              </w:rPr>
              <w:t>Information</w:t>
            </w:r>
            <w:proofErr w:type="gramEnd"/>
            <w:r w:rsidRPr="00FF2DDC">
              <w:rPr>
                <w:rFonts w:asciiTheme="majorHAnsi" w:hAnsiTheme="majorHAnsi" w:cstheme="majorHAnsi"/>
                <w:b/>
                <w:sz w:val="22"/>
                <w:szCs w:val="22"/>
                <w:lang w:val="en-US"/>
              </w:rPr>
              <w:t xml:space="preserve"> protection and confidentiality measures</w:t>
            </w:r>
          </w:p>
          <w:p w14:paraId="020BD3B2" w14:textId="4412722B" w:rsidR="00BC0950" w:rsidRDefault="00BC0950" w:rsidP="00FF2DDC">
            <w:pPr>
              <w:rPr>
                <w:rFonts w:asciiTheme="majorHAnsi" w:hAnsiTheme="majorHAnsi" w:cstheme="majorHAnsi"/>
                <w:b/>
                <w:sz w:val="22"/>
                <w:szCs w:val="22"/>
                <w:lang w:val="en-US"/>
              </w:rPr>
            </w:pPr>
            <w:proofErr w:type="gramStart"/>
            <w:r>
              <w:rPr>
                <w:rFonts w:asciiTheme="majorHAnsi" w:hAnsiTheme="majorHAnsi" w:cstheme="majorHAnsi"/>
                <w:b/>
                <w:sz w:val="22"/>
                <w:szCs w:val="22"/>
                <w:lang w:val="en-US"/>
              </w:rPr>
              <w:t>12  Release</w:t>
            </w:r>
            <w:proofErr w:type="gramEnd"/>
            <w:r>
              <w:rPr>
                <w:rFonts w:asciiTheme="majorHAnsi" w:hAnsiTheme="majorHAnsi" w:cstheme="majorHAnsi"/>
                <w:b/>
                <w:sz w:val="22"/>
                <w:szCs w:val="22"/>
                <w:lang w:val="en-US"/>
              </w:rPr>
              <w:t xml:space="preserve"> of confidential information</w:t>
            </w:r>
          </w:p>
          <w:p w14:paraId="0FBDA19E" w14:textId="63CE3437" w:rsidR="00BC0950" w:rsidRDefault="00BC0950" w:rsidP="00FF2DDC">
            <w:pPr>
              <w:rPr>
                <w:rFonts w:asciiTheme="majorHAnsi" w:hAnsiTheme="majorHAnsi" w:cstheme="majorHAnsi"/>
                <w:b/>
                <w:sz w:val="22"/>
                <w:szCs w:val="22"/>
                <w:lang w:val="en-US"/>
              </w:rPr>
            </w:pPr>
            <w:proofErr w:type="gramStart"/>
            <w:r>
              <w:rPr>
                <w:rFonts w:asciiTheme="majorHAnsi" w:hAnsiTheme="majorHAnsi" w:cstheme="majorHAnsi"/>
                <w:b/>
                <w:sz w:val="22"/>
                <w:szCs w:val="22"/>
                <w:lang w:val="en-US"/>
              </w:rPr>
              <w:t>13  Secretariat</w:t>
            </w:r>
            <w:proofErr w:type="gramEnd"/>
            <w:r>
              <w:rPr>
                <w:rFonts w:asciiTheme="majorHAnsi" w:hAnsiTheme="majorHAnsi" w:cstheme="majorHAnsi"/>
                <w:b/>
                <w:sz w:val="22"/>
                <w:szCs w:val="22"/>
                <w:lang w:val="en-US"/>
              </w:rPr>
              <w:t xml:space="preserve"> services and financial arrangements</w:t>
            </w:r>
          </w:p>
          <w:p w14:paraId="4159DBE2" w14:textId="62A31859" w:rsidR="00BC0950" w:rsidRDefault="00BC0950" w:rsidP="001928EF">
            <w:pPr>
              <w:rPr>
                <w:rFonts w:asciiTheme="majorHAnsi" w:hAnsiTheme="majorHAnsi" w:cstheme="majorHAnsi"/>
                <w:b/>
                <w:sz w:val="22"/>
                <w:szCs w:val="22"/>
                <w:lang w:val="en-US"/>
              </w:rPr>
            </w:pPr>
            <w:proofErr w:type="gramStart"/>
            <w:r>
              <w:rPr>
                <w:rFonts w:asciiTheme="majorHAnsi" w:hAnsiTheme="majorHAnsi" w:cstheme="majorHAnsi"/>
                <w:b/>
                <w:sz w:val="22"/>
                <w:szCs w:val="22"/>
                <w:lang w:val="en-US"/>
              </w:rPr>
              <w:t>14  Signature</w:t>
            </w:r>
            <w:proofErr w:type="gramEnd"/>
            <w:r>
              <w:rPr>
                <w:rFonts w:asciiTheme="majorHAnsi" w:hAnsiTheme="majorHAnsi" w:cstheme="majorHAnsi"/>
                <w:b/>
                <w:sz w:val="22"/>
                <w:szCs w:val="22"/>
                <w:lang w:val="en-US"/>
              </w:rPr>
              <w:t xml:space="preserve"> and accession</w:t>
            </w:r>
          </w:p>
        </w:tc>
        <w:tc>
          <w:tcPr>
            <w:tcW w:w="1471" w:type="dxa"/>
          </w:tcPr>
          <w:p w14:paraId="0DFEC5C1" w14:textId="77777777" w:rsidR="009A538A" w:rsidRDefault="009A538A" w:rsidP="006B61BE">
            <w:pPr>
              <w:rPr>
                <w:rFonts w:asciiTheme="majorHAnsi" w:hAnsiTheme="majorHAnsi" w:cstheme="majorHAnsi"/>
                <w:b/>
                <w:sz w:val="22"/>
                <w:szCs w:val="22"/>
                <w:lang w:val="en-US"/>
              </w:rPr>
            </w:pPr>
            <w:r>
              <w:rPr>
                <w:rFonts w:asciiTheme="majorHAnsi" w:hAnsiTheme="majorHAnsi" w:cstheme="majorHAnsi"/>
                <w:b/>
                <w:sz w:val="22"/>
                <w:szCs w:val="22"/>
                <w:lang w:val="en-US"/>
              </w:rPr>
              <w:t>Chair</w:t>
            </w:r>
          </w:p>
          <w:p w14:paraId="099B066A" w14:textId="5C5D04DF" w:rsidR="00BC0950" w:rsidRDefault="009A538A" w:rsidP="006B61BE">
            <w:pPr>
              <w:rPr>
                <w:rFonts w:asciiTheme="majorHAnsi" w:hAnsiTheme="majorHAnsi" w:cstheme="majorHAnsi"/>
                <w:b/>
                <w:sz w:val="22"/>
                <w:szCs w:val="22"/>
                <w:lang w:val="en-US"/>
              </w:rPr>
            </w:pPr>
            <w:r>
              <w:rPr>
                <w:rFonts w:asciiTheme="majorHAnsi" w:hAnsiTheme="majorHAnsi" w:cstheme="majorHAnsi"/>
                <w:b/>
                <w:sz w:val="22"/>
                <w:szCs w:val="22"/>
                <w:lang w:val="en-US"/>
              </w:rPr>
              <w:t>(</w:t>
            </w:r>
            <w:r w:rsidR="00BC0950">
              <w:rPr>
                <w:rFonts w:asciiTheme="majorHAnsi" w:hAnsiTheme="majorHAnsi" w:cstheme="majorHAnsi"/>
                <w:b/>
                <w:sz w:val="22"/>
                <w:szCs w:val="22"/>
                <w:lang w:val="en-US"/>
              </w:rPr>
              <w:t>Judith Swan legal aspects)</w:t>
            </w:r>
          </w:p>
          <w:p w14:paraId="54AA70ED" w14:textId="77777777" w:rsidR="00CD71A4" w:rsidRDefault="00CD71A4" w:rsidP="006B61BE">
            <w:pPr>
              <w:rPr>
                <w:rFonts w:asciiTheme="majorHAnsi" w:hAnsiTheme="majorHAnsi" w:cstheme="majorHAnsi"/>
                <w:b/>
                <w:sz w:val="22"/>
                <w:szCs w:val="22"/>
                <w:highlight w:val="yellow"/>
                <w:lang w:val="en-US"/>
              </w:rPr>
            </w:pPr>
          </w:p>
          <w:p w14:paraId="2BDE0074" w14:textId="6137E943" w:rsidR="00BC0950" w:rsidRDefault="00CD71A4" w:rsidP="006B61BE">
            <w:pPr>
              <w:rPr>
                <w:rFonts w:asciiTheme="majorHAnsi" w:hAnsiTheme="majorHAnsi" w:cstheme="majorHAnsi"/>
                <w:b/>
                <w:sz w:val="22"/>
                <w:szCs w:val="22"/>
                <w:lang w:val="en-US"/>
              </w:rPr>
            </w:pPr>
            <w:r w:rsidRPr="00CD71A4">
              <w:rPr>
                <w:rFonts w:asciiTheme="majorHAnsi" w:hAnsiTheme="majorHAnsi" w:cstheme="majorHAnsi"/>
                <w:b/>
                <w:sz w:val="22"/>
                <w:szCs w:val="22"/>
                <w:lang w:val="en-US"/>
              </w:rPr>
              <w:t xml:space="preserve">Participants </w:t>
            </w:r>
            <w:r w:rsidR="00AF35DF" w:rsidRPr="00CD71A4">
              <w:rPr>
                <w:rFonts w:asciiTheme="majorHAnsi" w:hAnsiTheme="majorHAnsi" w:cstheme="majorHAnsi"/>
                <w:b/>
                <w:sz w:val="22"/>
                <w:szCs w:val="22"/>
                <w:lang w:val="en-US"/>
              </w:rPr>
              <w:t>Technical aspects</w:t>
            </w:r>
          </w:p>
          <w:p w14:paraId="2F554D9C" w14:textId="1B51CACE" w:rsidR="00BC0950" w:rsidRDefault="00BC0950" w:rsidP="006B61BE">
            <w:pPr>
              <w:rPr>
                <w:rFonts w:asciiTheme="majorHAnsi" w:hAnsiTheme="majorHAnsi" w:cstheme="majorHAnsi"/>
                <w:b/>
                <w:sz w:val="22"/>
                <w:szCs w:val="22"/>
                <w:lang w:val="en-US"/>
              </w:rPr>
            </w:pPr>
          </w:p>
        </w:tc>
      </w:tr>
      <w:tr w:rsidR="00BC0950" w14:paraId="2460F241" w14:textId="77777777" w:rsidTr="00BC0950">
        <w:tc>
          <w:tcPr>
            <w:tcW w:w="748" w:type="dxa"/>
          </w:tcPr>
          <w:p w14:paraId="35CEB9CB" w14:textId="0E8CE3BC"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1030</w:t>
            </w:r>
          </w:p>
        </w:tc>
        <w:tc>
          <w:tcPr>
            <w:tcW w:w="523" w:type="dxa"/>
          </w:tcPr>
          <w:p w14:paraId="4F327013" w14:textId="006BDC72" w:rsidR="00BC0950" w:rsidRDefault="00BC0950" w:rsidP="006B61BE">
            <w:pPr>
              <w:rPr>
                <w:rFonts w:asciiTheme="majorHAnsi" w:hAnsiTheme="majorHAnsi" w:cstheme="majorHAnsi"/>
                <w:b/>
                <w:sz w:val="22"/>
                <w:szCs w:val="22"/>
                <w:lang w:val="en-US"/>
              </w:rPr>
            </w:pPr>
          </w:p>
        </w:tc>
        <w:tc>
          <w:tcPr>
            <w:tcW w:w="6274" w:type="dxa"/>
          </w:tcPr>
          <w:p w14:paraId="2287AB0A" w14:textId="050FEE37"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Refreshment break</w:t>
            </w:r>
          </w:p>
          <w:p w14:paraId="56BA6E85" w14:textId="30E6D50A" w:rsidR="00BC0950" w:rsidRDefault="00BC0950" w:rsidP="006B61BE">
            <w:pPr>
              <w:rPr>
                <w:rFonts w:asciiTheme="majorHAnsi" w:hAnsiTheme="majorHAnsi" w:cstheme="majorHAnsi"/>
                <w:b/>
                <w:sz w:val="22"/>
                <w:szCs w:val="22"/>
                <w:lang w:val="en-US"/>
              </w:rPr>
            </w:pPr>
          </w:p>
        </w:tc>
        <w:tc>
          <w:tcPr>
            <w:tcW w:w="1471" w:type="dxa"/>
          </w:tcPr>
          <w:p w14:paraId="492ED2FC" w14:textId="77777777" w:rsidR="00BC0950" w:rsidRDefault="00BC0950" w:rsidP="006B61BE">
            <w:pPr>
              <w:rPr>
                <w:rFonts w:asciiTheme="majorHAnsi" w:hAnsiTheme="majorHAnsi" w:cstheme="majorHAnsi"/>
                <w:b/>
                <w:sz w:val="22"/>
                <w:szCs w:val="22"/>
                <w:lang w:val="en-US"/>
              </w:rPr>
            </w:pPr>
          </w:p>
        </w:tc>
      </w:tr>
      <w:tr w:rsidR="00BC0950" w14:paraId="77840819" w14:textId="77777777" w:rsidTr="00BC0950">
        <w:tc>
          <w:tcPr>
            <w:tcW w:w="748" w:type="dxa"/>
          </w:tcPr>
          <w:p w14:paraId="363A5FE3" w14:textId="4E096768"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1100</w:t>
            </w:r>
          </w:p>
        </w:tc>
        <w:tc>
          <w:tcPr>
            <w:tcW w:w="523" w:type="dxa"/>
          </w:tcPr>
          <w:p w14:paraId="3DB5BA2A" w14:textId="7870BBA8" w:rsidR="00BC0950" w:rsidRDefault="00BC0950" w:rsidP="00FF2DDC">
            <w:pPr>
              <w:rPr>
                <w:rFonts w:asciiTheme="majorHAnsi" w:hAnsiTheme="majorHAnsi" w:cstheme="majorHAnsi"/>
                <w:b/>
                <w:sz w:val="22"/>
                <w:szCs w:val="22"/>
                <w:lang w:val="en-US"/>
              </w:rPr>
            </w:pPr>
            <w:r>
              <w:rPr>
                <w:rFonts w:asciiTheme="majorHAnsi" w:hAnsiTheme="majorHAnsi" w:cstheme="majorHAnsi"/>
                <w:b/>
                <w:sz w:val="22"/>
                <w:szCs w:val="22"/>
                <w:lang w:val="en-US"/>
              </w:rPr>
              <w:t>5</w:t>
            </w:r>
          </w:p>
        </w:tc>
        <w:tc>
          <w:tcPr>
            <w:tcW w:w="6274" w:type="dxa"/>
          </w:tcPr>
          <w:p w14:paraId="232E194F" w14:textId="5D02564D" w:rsidR="00BC0950" w:rsidRDefault="00BC0950" w:rsidP="00FF2DDC">
            <w:pPr>
              <w:rPr>
                <w:rFonts w:asciiTheme="majorHAnsi" w:hAnsiTheme="majorHAnsi" w:cstheme="majorHAnsi"/>
                <w:b/>
                <w:sz w:val="22"/>
                <w:szCs w:val="22"/>
                <w:lang w:val="en-US"/>
              </w:rPr>
            </w:pPr>
            <w:r>
              <w:rPr>
                <w:rFonts w:asciiTheme="majorHAnsi" w:hAnsiTheme="majorHAnsi" w:cstheme="majorHAnsi"/>
                <w:b/>
                <w:sz w:val="22"/>
                <w:szCs w:val="22"/>
                <w:lang w:val="en-US"/>
              </w:rPr>
              <w:t>Technical matters (continued)</w:t>
            </w:r>
          </w:p>
          <w:p w14:paraId="787D4ABF" w14:textId="68A5294B" w:rsidR="00BC0950" w:rsidRPr="00FF2DDC" w:rsidRDefault="00BC0950" w:rsidP="00FF2DDC">
            <w:pPr>
              <w:rPr>
                <w:rFonts w:asciiTheme="majorHAnsi" w:hAnsiTheme="majorHAnsi" w:cstheme="majorHAnsi"/>
                <w:b/>
                <w:sz w:val="22"/>
                <w:szCs w:val="22"/>
                <w:lang w:val="en-US"/>
              </w:rPr>
            </w:pPr>
          </w:p>
        </w:tc>
        <w:tc>
          <w:tcPr>
            <w:tcW w:w="1471" w:type="dxa"/>
          </w:tcPr>
          <w:p w14:paraId="79A985EF" w14:textId="77777777" w:rsidR="00BC0950" w:rsidRDefault="00BC0950" w:rsidP="006B61BE">
            <w:pPr>
              <w:rPr>
                <w:rFonts w:asciiTheme="majorHAnsi" w:hAnsiTheme="majorHAnsi" w:cstheme="majorHAnsi"/>
                <w:b/>
                <w:sz w:val="22"/>
                <w:szCs w:val="22"/>
                <w:lang w:val="en-US"/>
              </w:rPr>
            </w:pPr>
          </w:p>
        </w:tc>
      </w:tr>
      <w:tr w:rsidR="00BC0950" w14:paraId="45748BD5" w14:textId="77777777" w:rsidTr="00BC0950">
        <w:tc>
          <w:tcPr>
            <w:tcW w:w="748" w:type="dxa"/>
          </w:tcPr>
          <w:p w14:paraId="1F37A50A" w14:textId="59D0DEE4"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1230</w:t>
            </w:r>
          </w:p>
        </w:tc>
        <w:tc>
          <w:tcPr>
            <w:tcW w:w="523" w:type="dxa"/>
          </w:tcPr>
          <w:p w14:paraId="2B7B97A7" w14:textId="60FA6119" w:rsidR="00BC0950" w:rsidRDefault="00BC0950" w:rsidP="006B61BE">
            <w:pPr>
              <w:rPr>
                <w:rFonts w:asciiTheme="majorHAnsi" w:hAnsiTheme="majorHAnsi" w:cstheme="majorHAnsi"/>
                <w:b/>
                <w:sz w:val="22"/>
                <w:szCs w:val="22"/>
                <w:lang w:val="en-US"/>
              </w:rPr>
            </w:pPr>
          </w:p>
        </w:tc>
        <w:tc>
          <w:tcPr>
            <w:tcW w:w="6274" w:type="dxa"/>
          </w:tcPr>
          <w:p w14:paraId="10141092" w14:textId="7FB3B033"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Lunch</w:t>
            </w:r>
          </w:p>
          <w:p w14:paraId="34C33126" w14:textId="4768871C" w:rsidR="00BC0950" w:rsidRDefault="00BC0950" w:rsidP="006B61BE">
            <w:pPr>
              <w:rPr>
                <w:rFonts w:asciiTheme="majorHAnsi" w:hAnsiTheme="majorHAnsi" w:cstheme="majorHAnsi"/>
                <w:b/>
                <w:sz w:val="22"/>
                <w:szCs w:val="22"/>
                <w:lang w:val="en-US"/>
              </w:rPr>
            </w:pPr>
          </w:p>
        </w:tc>
        <w:tc>
          <w:tcPr>
            <w:tcW w:w="1471" w:type="dxa"/>
          </w:tcPr>
          <w:p w14:paraId="3F414157" w14:textId="77777777" w:rsidR="00BC0950" w:rsidRDefault="00BC0950" w:rsidP="006B61BE">
            <w:pPr>
              <w:rPr>
                <w:rFonts w:asciiTheme="majorHAnsi" w:hAnsiTheme="majorHAnsi" w:cstheme="majorHAnsi"/>
                <w:b/>
                <w:sz w:val="22"/>
                <w:szCs w:val="22"/>
                <w:lang w:val="en-US"/>
              </w:rPr>
            </w:pPr>
          </w:p>
        </w:tc>
      </w:tr>
      <w:tr w:rsidR="00BC0950" w14:paraId="1ADEE9DC" w14:textId="77777777" w:rsidTr="00BC0950">
        <w:tc>
          <w:tcPr>
            <w:tcW w:w="748" w:type="dxa"/>
          </w:tcPr>
          <w:p w14:paraId="2325536E" w14:textId="3D03B010"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1330</w:t>
            </w:r>
          </w:p>
        </w:tc>
        <w:tc>
          <w:tcPr>
            <w:tcW w:w="523" w:type="dxa"/>
          </w:tcPr>
          <w:p w14:paraId="21EF442D" w14:textId="17DC1651"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6</w:t>
            </w:r>
          </w:p>
        </w:tc>
        <w:tc>
          <w:tcPr>
            <w:tcW w:w="6274" w:type="dxa"/>
          </w:tcPr>
          <w:p w14:paraId="792D42A1" w14:textId="3F75B6B6"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Technical matters (continued)</w:t>
            </w:r>
          </w:p>
          <w:p w14:paraId="69FE6FC3" w14:textId="6CCC6AE2" w:rsidR="00BC0950" w:rsidRDefault="00BC0950" w:rsidP="006B61BE">
            <w:pPr>
              <w:rPr>
                <w:rFonts w:asciiTheme="majorHAnsi" w:hAnsiTheme="majorHAnsi" w:cstheme="majorHAnsi"/>
                <w:b/>
                <w:sz w:val="22"/>
                <w:szCs w:val="22"/>
                <w:lang w:val="en-US"/>
              </w:rPr>
            </w:pPr>
          </w:p>
        </w:tc>
        <w:tc>
          <w:tcPr>
            <w:tcW w:w="1471" w:type="dxa"/>
          </w:tcPr>
          <w:p w14:paraId="61126CA5" w14:textId="77777777" w:rsidR="00BC0950" w:rsidRDefault="00BC0950" w:rsidP="006B61BE">
            <w:pPr>
              <w:rPr>
                <w:rFonts w:asciiTheme="majorHAnsi" w:hAnsiTheme="majorHAnsi" w:cstheme="majorHAnsi"/>
                <w:b/>
                <w:sz w:val="22"/>
                <w:szCs w:val="22"/>
                <w:lang w:val="en-US"/>
              </w:rPr>
            </w:pPr>
          </w:p>
        </w:tc>
      </w:tr>
      <w:tr w:rsidR="00BC0950" w14:paraId="5D555B5D" w14:textId="77777777" w:rsidTr="00BC0950">
        <w:tc>
          <w:tcPr>
            <w:tcW w:w="748" w:type="dxa"/>
          </w:tcPr>
          <w:p w14:paraId="39815E46" w14:textId="51862A7B"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1500</w:t>
            </w:r>
          </w:p>
        </w:tc>
        <w:tc>
          <w:tcPr>
            <w:tcW w:w="523" w:type="dxa"/>
          </w:tcPr>
          <w:p w14:paraId="5F096829" w14:textId="77777777" w:rsidR="00BC0950" w:rsidRDefault="00BC0950" w:rsidP="006B61BE">
            <w:pPr>
              <w:rPr>
                <w:rFonts w:asciiTheme="majorHAnsi" w:hAnsiTheme="majorHAnsi" w:cstheme="majorHAnsi"/>
                <w:b/>
                <w:sz w:val="22"/>
                <w:szCs w:val="22"/>
                <w:lang w:val="en-US"/>
              </w:rPr>
            </w:pPr>
          </w:p>
        </w:tc>
        <w:tc>
          <w:tcPr>
            <w:tcW w:w="6274" w:type="dxa"/>
          </w:tcPr>
          <w:p w14:paraId="330A812B" w14:textId="731746F0"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Refreshment break</w:t>
            </w:r>
          </w:p>
        </w:tc>
        <w:tc>
          <w:tcPr>
            <w:tcW w:w="1471" w:type="dxa"/>
          </w:tcPr>
          <w:p w14:paraId="350A0B04" w14:textId="77777777" w:rsidR="00BC0950" w:rsidRDefault="00BC0950" w:rsidP="006B61BE">
            <w:pPr>
              <w:rPr>
                <w:rFonts w:asciiTheme="majorHAnsi" w:hAnsiTheme="majorHAnsi" w:cstheme="majorHAnsi"/>
                <w:b/>
                <w:sz w:val="22"/>
                <w:szCs w:val="22"/>
                <w:lang w:val="en-US"/>
              </w:rPr>
            </w:pPr>
          </w:p>
        </w:tc>
      </w:tr>
      <w:tr w:rsidR="00BC0950" w14:paraId="3EB15C04" w14:textId="77777777" w:rsidTr="00BC0950">
        <w:tc>
          <w:tcPr>
            <w:tcW w:w="748" w:type="dxa"/>
          </w:tcPr>
          <w:p w14:paraId="2E9EE07E" w14:textId="23189444"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lastRenderedPageBreak/>
              <w:t>1520</w:t>
            </w:r>
          </w:p>
        </w:tc>
        <w:tc>
          <w:tcPr>
            <w:tcW w:w="523" w:type="dxa"/>
          </w:tcPr>
          <w:p w14:paraId="6DD94A57" w14:textId="7150E5AF"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7</w:t>
            </w:r>
          </w:p>
        </w:tc>
        <w:tc>
          <w:tcPr>
            <w:tcW w:w="6274" w:type="dxa"/>
          </w:tcPr>
          <w:p w14:paraId="482088DD" w14:textId="06EDDA38"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Legal matters</w:t>
            </w:r>
          </w:p>
          <w:p w14:paraId="20171638" w14:textId="17A8F736" w:rsidR="00BC0950" w:rsidRDefault="00BC0950" w:rsidP="006B61BE">
            <w:pPr>
              <w:rPr>
                <w:rFonts w:asciiTheme="majorHAnsi" w:hAnsiTheme="majorHAnsi" w:cstheme="majorHAnsi"/>
                <w:b/>
                <w:sz w:val="22"/>
                <w:szCs w:val="22"/>
                <w:lang w:val="en-US"/>
              </w:rPr>
            </w:pPr>
          </w:p>
        </w:tc>
        <w:tc>
          <w:tcPr>
            <w:tcW w:w="1471" w:type="dxa"/>
          </w:tcPr>
          <w:p w14:paraId="30BC3105" w14:textId="77777777" w:rsidR="00BC0950" w:rsidRDefault="00BC0950" w:rsidP="006B61BE">
            <w:pPr>
              <w:rPr>
                <w:rFonts w:asciiTheme="majorHAnsi" w:hAnsiTheme="majorHAnsi" w:cstheme="majorHAnsi"/>
                <w:b/>
                <w:sz w:val="22"/>
                <w:szCs w:val="22"/>
                <w:lang w:val="en-US"/>
              </w:rPr>
            </w:pPr>
          </w:p>
        </w:tc>
      </w:tr>
      <w:tr w:rsidR="00BC0950" w14:paraId="6B3F3F74" w14:textId="77777777" w:rsidTr="00BC0950">
        <w:tc>
          <w:tcPr>
            <w:tcW w:w="748" w:type="dxa"/>
          </w:tcPr>
          <w:p w14:paraId="3523DF11" w14:textId="26B1D032"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1645</w:t>
            </w:r>
          </w:p>
        </w:tc>
        <w:tc>
          <w:tcPr>
            <w:tcW w:w="523" w:type="dxa"/>
          </w:tcPr>
          <w:p w14:paraId="328A7211" w14:textId="4788569F"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8</w:t>
            </w:r>
          </w:p>
        </w:tc>
        <w:tc>
          <w:tcPr>
            <w:tcW w:w="6274" w:type="dxa"/>
          </w:tcPr>
          <w:p w14:paraId="3C31724E" w14:textId="4405EE0E"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 xml:space="preserve">Summary conclusions </w:t>
            </w:r>
          </w:p>
        </w:tc>
        <w:tc>
          <w:tcPr>
            <w:tcW w:w="1471" w:type="dxa"/>
          </w:tcPr>
          <w:p w14:paraId="4FFB0017" w14:textId="139E649C"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Chair</w:t>
            </w:r>
          </w:p>
        </w:tc>
      </w:tr>
      <w:tr w:rsidR="00BC0950" w14:paraId="0F1D7CAA" w14:textId="77777777" w:rsidTr="00BC0950">
        <w:tc>
          <w:tcPr>
            <w:tcW w:w="748" w:type="dxa"/>
          </w:tcPr>
          <w:p w14:paraId="747241D2" w14:textId="5F405F05"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1</w:t>
            </w:r>
            <w:r w:rsidR="00C47D7A">
              <w:rPr>
                <w:rFonts w:asciiTheme="majorHAnsi" w:hAnsiTheme="majorHAnsi" w:cstheme="majorHAnsi"/>
                <w:b/>
                <w:sz w:val="22"/>
                <w:szCs w:val="22"/>
                <w:lang w:val="en-US"/>
              </w:rPr>
              <w:t>7</w:t>
            </w:r>
            <w:r>
              <w:rPr>
                <w:rFonts w:asciiTheme="majorHAnsi" w:hAnsiTheme="majorHAnsi" w:cstheme="majorHAnsi"/>
                <w:b/>
                <w:sz w:val="22"/>
                <w:szCs w:val="22"/>
                <w:lang w:val="en-US"/>
              </w:rPr>
              <w:t>00</w:t>
            </w:r>
          </w:p>
        </w:tc>
        <w:tc>
          <w:tcPr>
            <w:tcW w:w="523" w:type="dxa"/>
          </w:tcPr>
          <w:p w14:paraId="2B595E9E" w14:textId="546FE8E7"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9</w:t>
            </w:r>
          </w:p>
        </w:tc>
        <w:tc>
          <w:tcPr>
            <w:tcW w:w="6274" w:type="dxa"/>
          </w:tcPr>
          <w:p w14:paraId="5E53F8B8" w14:textId="0446CDFF" w:rsidR="00BC0950" w:rsidRDefault="00BC0950" w:rsidP="006B61BE">
            <w:pPr>
              <w:rPr>
                <w:rFonts w:asciiTheme="majorHAnsi" w:hAnsiTheme="majorHAnsi" w:cstheme="majorHAnsi"/>
                <w:b/>
                <w:sz w:val="22"/>
                <w:szCs w:val="22"/>
                <w:lang w:val="en-US"/>
              </w:rPr>
            </w:pPr>
            <w:r>
              <w:rPr>
                <w:rFonts w:asciiTheme="majorHAnsi" w:hAnsiTheme="majorHAnsi" w:cstheme="majorHAnsi"/>
                <w:b/>
                <w:sz w:val="22"/>
                <w:szCs w:val="22"/>
                <w:lang w:val="en-US"/>
              </w:rPr>
              <w:t>Close of Workshop</w:t>
            </w:r>
          </w:p>
        </w:tc>
        <w:tc>
          <w:tcPr>
            <w:tcW w:w="1471" w:type="dxa"/>
          </w:tcPr>
          <w:p w14:paraId="5679862E" w14:textId="77777777" w:rsidR="00BC0950" w:rsidRDefault="00BC0950" w:rsidP="006B61BE">
            <w:pPr>
              <w:rPr>
                <w:rFonts w:asciiTheme="majorHAnsi" w:hAnsiTheme="majorHAnsi" w:cstheme="majorHAnsi"/>
                <w:b/>
                <w:sz w:val="22"/>
                <w:szCs w:val="22"/>
                <w:lang w:val="en-US"/>
              </w:rPr>
            </w:pPr>
          </w:p>
        </w:tc>
      </w:tr>
    </w:tbl>
    <w:p w14:paraId="33A39B77" w14:textId="2FB3A490" w:rsidR="006B61BE" w:rsidRPr="00C93D25" w:rsidRDefault="006B61BE" w:rsidP="006B61BE">
      <w:pPr>
        <w:rPr>
          <w:rFonts w:asciiTheme="majorHAnsi" w:hAnsiTheme="majorHAnsi" w:cstheme="majorHAnsi"/>
          <w:b/>
          <w:sz w:val="22"/>
          <w:szCs w:val="22"/>
          <w:lang w:val="en-US"/>
        </w:rPr>
      </w:pPr>
    </w:p>
    <w:sectPr w:rsidR="006B61BE" w:rsidRPr="00C93D25" w:rsidSect="00B7330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80B"/>
    <w:multiLevelType w:val="hybridMultilevel"/>
    <w:tmpl w:val="952AF6B0"/>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1472CCA"/>
    <w:multiLevelType w:val="hybridMultilevel"/>
    <w:tmpl w:val="2A4401BE"/>
    <w:lvl w:ilvl="0" w:tplc="87EAA776">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6CC92303"/>
    <w:multiLevelType w:val="multilevel"/>
    <w:tmpl w:val="B3126B9A"/>
    <w:styleLink w:val="StyleUN"/>
    <w:lvl w:ilvl="0">
      <w:start w:val="1"/>
      <w:numFmt w:val="decimal"/>
      <w:lvlText w:val="%1)"/>
      <w:lvlJc w:val="left"/>
      <w:pPr>
        <w:ind w:left="0" w:firstLine="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5030656">
    <w:abstractNumId w:val="2"/>
  </w:num>
  <w:num w:numId="2" w16cid:durableId="383140029">
    <w:abstractNumId w:val="1"/>
  </w:num>
  <w:num w:numId="3" w16cid:durableId="19061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BE"/>
    <w:rsid w:val="001928EF"/>
    <w:rsid w:val="001C5E76"/>
    <w:rsid w:val="00386A33"/>
    <w:rsid w:val="003D1536"/>
    <w:rsid w:val="00652155"/>
    <w:rsid w:val="006B0DF0"/>
    <w:rsid w:val="006B61BE"/>
    <w:rsid w:val="00732373"/>
    <w:rsid w:val="007963B7"/>
    <w:rsid w:val="008560A7"/>
    <w:rsid w:val="009A538A"/>
    <w:rsid w:val="00AF35DF"/>
    <w:rsid w:val="00B73309"/>
    <w:rsid w:val="00BC0950"/>
    <w:rsid w:val="00C47D7A"/>
    <w:rsid w:val="00C821A7"/>
    <w:rsid w:val="00CD71A4"/>
    <w:rsid w:val="00D60604"/>
    <w:rsid w:val="00FA021E"/>
    <w:rsid w:val="00FF2DDC"/>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259C"/>
  <w15:chartTrackingRefBased/>
  <w15:docId w15:val="{E2D1770D-966B-47BD-AA54-2CC925C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BE"/>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UN">
    <w:name w:val="Style UN"/>
    <w:uiPriority w:val="99"/>
    <w:rsid w:val="00386A33"/>
    <w:pPr>
      <w:numPr>
        <w:numId w:val="1"/>
      </w:numPr>
    </w:pPr>
  </w:style>
  <w:style w:type="table" w:styleId="TableGrid">
    <w:name w:val="Table Grid"/>
    <w:basedOn w:val="TableNormal"/>
    <w:uiPriority w:val="39"/>
    <w:rsid w:val="006B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0158">
      <w:bodyDiv w:val="1"/>
      <w:marLeft w:val="0"/>
      <w:marRight w:val="0"/>
      <w:marTop w:val="0"/>
      <w:marBottom w:val="0"/>
      <w:divBdr>
        <w:top w:val="none" w:sz="0" w:space="0" w:color="auto"/>
        <w:left w:val="none" w:sz="0" w:space="0" w:color="auto"/>
        <w:bottom w:val="none" w:sz="0" w:space="0" w:color="auto"/>
        <w:right w:val="none" w:sz="0" w:space="0" w:color="auto"/>
      </w:divBdr>
    </w:div>
    <w:div w:id="263072097">
      <w:bodyDiv w:val="1"/>
      <w:marLeft w:val="0"/>
      <w:marRight w:val="0"/>
      <w:marTop w:val="0"/>
      <w:marBottom w:val="0"/>
      <w:divBdr>
        <w:top w:val="none" w:sz="0" w:space="0" w:color="auto"/>
        <w:left w:val="none" w:sz="0" w:space="0" w:color="auto"/>
        <w:bottom w:val="none" w:sz="0" w:space="0" w:color="auto"/>
        <w:right w:val="none" w:sz="0" w:space="0" w:color="auto"/>
      </w:divBdr>
    </w:div>
    <w:div w:id="305092877">
      <w:bodyDiv w:val="1"/>
      <w:marLeft w:val="0"/>
      <w:marRight w:val="0"/>
      <w:marTop w:val="0"/>
      <w:marBottom w:val="0"/>
      <w:divBdr>
        <w:top w:val="none" w:sz="0" w:space="0" w:color="auto"/>
        <w:left w:val="none" w:sz="0" w:space="0" w:color="auto"/>
        <w:bottom w:val="none" w:sz="0" w:space="0" w:color="auto"/>
        <w:right w:val="none" w:sz="0" w:space="0" w:color="auto"/>
      </w:divBdr>
    </w:div>
    <w:div w:id="442379290">
      <w:bodyDiv w:val="1"/>
      <w:marLeft w:val="0"/>
      <w:marRight w:val="0"/>
      <w:marTop w:val="0"/>
      <w:marBottom w:val="0"/>
      <w:divBdr>
        <w:top w:val="none" w:sz="0" w:space="0" w:color="auto"/>
        <w:left w:val="none" w:sz="0" w:space="0" w:color="auto"/>
        <w:bottom w:val="none" w:sz="0" w:space="0" w:color="auto"/>
        <w:right w:val="none" w:sz="0" w:space="0" w:color="auto"/>
      </w:divBdr>
    </w:div>
    <w:div w:id="476456581">
      <w:bodyDiv w:val="1"/>
      <w:marLeft w:val="0"/>
      <w:marRight w:val="0"/>
      <w:marTop w:val="0"/>
      <w:marBottom w:val="0"/>
      <w:divBdr>
        <w:top w:val="none" w:sz="0" w:space="0" w:color="auto"/>
        <w:left w:val="none" w:sz="0" w:space="0" w:color="auto"/>
        <w:bottom w:val="none" w:sz="0" w:space="0" w:color="auto"/>
        <w:right w:val="none" w:sz="0" w:space="0" w:color="auto"/>
      </w:divBdr>
    </w:div>
    <w:div w:id="532113113">
      <w:bodyDiv w:val="1"/>
      <w:marLeft w:val="0"/>
      <w:marRight w:val="0"/>
      <w:marTop w:val="0"/>
      <w:marBottom w:val="0"/>
      <w:divBdr>
        <w:top w:val="none" w:sz="0" w:space="0" w:color="auto"/>
        <w:left w:val="none" w:sz="0" w:space="0" w:color="auto"/>
        <w:bottom w:val="none" w:sz="0" w:space="0" w:color="auto"/>
        <w:right w:val="none" w:sz="0" w:space="0" w:color="auto"/>
      </w:divBdr>
    </w:div>
    <w:div w:id="677851436">
      <w:bodyDiv w:val="1"/>
      <w:marLeft w:val="0"/>
      <w:marRight w:val="0"/>
      <w:marTop w:val="0"/>
      <w:marBottom w:val="0"/>
      <w:divBdr>
        <w:top w:val="none" w:sz="0" w:space="0" w:color="auto"/>
        <w:left w:val="none" w:sz="0" w:space="0" w:color="auto"/>
        <w:bottom w:val="none" w:sz="0" w:space="0" w:color="auto"/>
        <w:right w:val="none" w:sz="0" w:space="0" w:color="auto"/>
      </w:divBdr>
    </w:div>
    <w:div w:id="809860421">
      <w:bodyDiv w:val="1"/>
      <w:marLeft w:val="0"/>
      <w:marRight w:val="0"/>
      <w:marTop w:val="0"/>
      <w:marBottom w:val="0"/>
      <w:divBdr>
        <w:top w:val="none" w:sz="0" w:space="0" w:color="auto"/>
        <w:left w:val="none" w:sz="0" w:space="0" w:color="auto"/>
        <w:bottom w:val="none" w:sz="0" w:space="0" w:color="auto"/>
        <w:right w:val="none" w:sz="0" w:space="0" w:color="auto"/>
      </w:divBdr>
    </w:div>
    <w:div w:id="1066605579">
      <w:bodyDiv w:val="1"/>
      <w:marLeft w:val="0"/>
      <w:marRight w:val="0"/>
      <w:marTop w:val="0"/>
      <w:marBottom w:val="0"/>
      <w:divBdr>
        <w:top w:val="none" w:sz="0" w:space="0" w:color="auto"/>
        <w:left w:val="none" w:sz="0" w:space="0" w:color="auto"/>
        <w:bottom w:val="none" w:sz="0" w:space="0" w:color="auto"/>
        <w:right w:val="none" w:sz="0" w:space="0" w:color="auto"/>
      </w:divBdr>
    </w:div>
    <w:div w:id="1124080563">
      <w:bodyDiv w:val="1"/>
      <w:marLeft w:val="0"/>
      <w:marRight w:val="0"/>
      <w:marTop w:val="0"/>
      <w:marBottom w:val="0"/>
      <w:divBdr>
        <w:top w:val="none" w:sz="0" w:space="0" w:color="auto"/>
        <w:left w:val="none" w:sz="0" w:space="0" w:color="auto"/>
        <w:bottom w:val="none" w:sz="0" w:space="0" w:color="auto"/>
        <w:right w:val="none" w:sz="0" w:space="0" w:color="auto"/>
      </w:divBdr>
    </w:div>
    <w:div w:id="1262373241">
      <w:bodyDiv w:val="1"/>
      <w:marLeft w:val="0"/>
      <w:marRight w:val="0"/>
      <w:marTop w:val="0"/>
      <w:marBottom w:val="0"/>
      <w:divBdr>
        <w:top w:val="none" w:sz="0" w:space="0" w:color="auto"/>
        <w:left w:val="none" w:sz="0" w:space="0" w:color="auto"/>
        <w:bottom w:val="none" w:sz="0" w:space="0" w:color="auto"/>
        <w:right w:val="none" w:sz="0" w:space="0" w:color="auto"/>
      </w:divBdr>
    </w:div>
    <w:div w:id="1320885874">
      <w:bodyDiv w:val="1"/>
      <w:marLeft w:val="0"/>
      <w:marRight w:val="0"/>
      <w:marTop w:val="0"/>
      <w:marBottom w:val="0"/>
      <w:divBdr>
        <w:top w:val="none" w:sz="0" w:space="0" w:color="auto"/>
        <w:left w:val="none" w:sz="0" w:space="0" w:color="auto"/>
        <w:bottom w:val="none" w:sz="0" w:space="0" w:color="auto"/>
        <w:right w:val="none" w:sz="0" w:space="0" w:color="auto"/>
      </w:divBdr>
    </w:div>
    <w:div w:id="1393387140">
      <w:bodyDiv w:val="1"/>
      <w:marLeft w:val="0"/>
      <w:marRight w:val="0"/>
      <w:marTop w:val="0"/>
      <w:marBottom w:val="0"/>
      <w:divBdr>
        <w:top w:val="none" w:sz="0" w:space="0" w:color="auto"/>
        <w:left w:val="none" w:sz="0" w:space="0" w:color="auto"/>
        <w:bottom w:val="none" w:sz="0" w:space="0" w:color="auto"/>
        <w:right w:val="none" w:sz="0" w:space="0" w:color="auto"/>
      </w:divBdr>
    </w:div>
    <w:div w:id="1524325485">
      <w:bodyDiv w:val="1"/>
      <w:marLeft w:val="0"/>
      <w:marRight w:val="0"/>
      <w:marTop w:val="0"/>
      <w:marBottom w:val="0"/>
      <w:divBdr>
        <w:top w:val="none" w:sz="0" w:space="0" w:color="auto"/>
        <w:left w:val="none" w:sz="0" w:space="0" w:color="auto"/>
        <w:bottom w:val="none" w:sz="0" w:space="0" w:color="auto"/>
        <w:right w:val="none" w:sz="0" w:space="0" w:color="auto"/>
      </w:divBdr>
    </w:div>
    <w:div w:id="1555123863">
      <w:bodyDiv w:val="1"/>
      <w:marLeft w:val="0"/>
      <w:marRight w:val="0"/>
      <w:marTop w:val="0"/>
      <w:marBottom w:val="0"/>
      <w:divBdr>
        <w:top w:val="none" w:sz="0" w:space="0" w:color="auto"/>
        <w:left w:val="none" w:sz="0" w:space="0" w:color="auto"/>
        <w:bottom w:val="none" w:sz="0" w:space="0" w:color="auto"/>
        <w:right w:val="none" w:sz="0" w:space="0" w:color="auto"/>
      </w:divBdr>
    </w:div>
    <w:div w:id="1645961136">
      <w:bodyDiv w:val="1"/>
      <w:marLeft w:val="0"/>
      <w:marRight w:val="0"/>
      <w:marTop w:val="0"/>
      <w:marBottom w:val="0"/>
      <w:divBdr>
        <w:top w:val="none" w:sz="0" w:space="0" w:color="auto"/>
        <w:left w:val="none" w:sz="0" w:space="0" w:color="auto"/>
        <w:bottom w:val="none" w:sz="0" w:space="0" w:color="auto"/>
        <w:right w:val="none" w:sz="0" w:space="0" w:color="auto"/>
      </w:divBdr>
    </w:div>
    <w:div w:id="1789814749">
      <w:bodyDiv w:val="1"/>
      <w:marLeft w:val="0"/>
      <w:marRight w:val="0"/>
      <w:marTop w:val="0"/>
      <w:marBottom w:val="0"/>
      <w:divBdr>
        <w:top w:val="none" w:sz="0" w:space="0" w:color="auto"/>
        <w:left w:val="none" w:sz="0" w:space="0" w:color="auto"/>
        <w:bottom w:val="none" w:sz="0" w:space="0" w:color="auto"/>
        <w:right w:val="none" w:sz="0" w:space="0" w:color="auto"/>
      </w:divBdr>
    </w:div>
    <w:div w:id="1810128703">
      <w:bodyDiv w:val="1"/>
      <w:marLeft w:val="0"/>
      <w:marRight w:val="0"/>
      <w:marTop w:val="0"/>
      <w:marBottom w:val="0"/>
      <w:divBdr>
        <w:top w:val="none" w:sz="0" w:space="0" w:color="auto"/>
        <w:left w:val="none" w:sz="0" w:space="0" w:color="auto"/>
        <w:bottom w:val="none" w:sz="0" w:space="0" w:color="auto"/>
        <w:right w:val="none" w:sz="0" w:space="0" w:color="auto"/>
      </w:divBdr>
    </w:div>
    <w:div w:id="1854763063">
      <w:bodyDiv w:val="1"/>
      <w:marLeft w:val="0"/>
      <w:marRight w:val="0"/>
      <w:marTop w:val="0"/>
      <w:marBottom w:val="0"/>
      <w:divBdr>
        <w:top w:val="none" w:sz="0" w:space="0" w:color="auto"/>
        <w:left w:val="none" w:sz="0" w:space="0" w:color="auto"/>
        <w:bottom w:val="none" w:sz="0" w:space="0" w:color="auto"/>
        <w:right w:val="none" w:sz="0" w:space="0" w:color="auto"/>
      </w:divBdr>
    </w:div>
    <w:div w:id="20392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Swan</dc:creator>
  <cp:keywords/>
  <dc:description/>
  <cp:lastModifiedBy>Subhas Chandra Bauljeewon</cp:lastModifiedBy>
  <cp:revision>3</cp:revision>
  <dcterms:created xsi:type="dcterms:W3CDTF">2023-01-18T07:22:00Z</dcterms:created>
  <dcterms:modified xsi:type="dcterms:W3CDTF">2023-01-25T10:44:00Z</dcterms:modified>
</cp:coreProperties>
</file>