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B463" w14:textId="162516AC" w:rsidR="00746BD1" w:rsidRPr="00830E36" w:rsidRDefault="00B577DB">
      <w:pPr>
        <w:pStyle w:val="P68B1DB1-Normal1"/>
        <w:jc w:val="center"/>
        <w:rPr>
          <w:lang w:val="fr-FR"/>
        </w:rPr>
      </w:pPr>
      <w:r w:rsidRPr="00830E36">
        <w:rPr>
          <w:lang w:val="fr-FR"/>
        </w:rPr>
        <w:t xml:space="preserve">PROTOCOLE RÉGIONAL </w:t>
      </w:r>
      <w:r w:rsidR="00314ED6">
        <w:rPr>
          <w:lang w:val="fr-FR"/>
        </w:rPr>
        <w:t>P</w:t>
      </w:r>
      <w:r w:rsidRPr="00830E36">
        <w:rPr>
          <w:lang w:val="fr-FR"/>
        </w:rPr>
        <w:t>RSP</w:t>
      </w:r>
      <w:r w:rsidR="00314ED6">
        <w:rPr>
          <w:lang w:val="fr-FR"/>
        </w:rPr>
        <w:t>-</w:t>
      </w:r>
      <w:r w:rsidR="00314ED6" w:rsidRPr="00830E36">
        <w:rPr>
          <w:lang w:val="fr-FR"/>
        </w:rPr>
        <w:t>COI</w:t>
      </w:r>
      <w:r w:rsidRPr="00830E36">
        <w:rPr>
          <w:lang w:val="fr-FR"/>
        </w:rPr>
        <w:t xml:space="preserve"> D</w:t>
      </w:r>
      <w:r w:rsidR="00E963E5">
        <w:rPr>
          <w:lang w:val="fr-FR"/>
        </w:rPr>
        <w:t>’</w:t>
      </w:r>
      <w:r w:rsidRPr="00830E36">
        <w:rPr>
          <w:lang w:val="fr-FR"/>
        </w:rPr>
        <w:t>ÉCHANGE D</w:t>
      </w:r>
      <w:r w:rsidR="00E963E5">
        <w:rPr>
          <w:lang w:val="fr-FR"/>
        </w:rPr>
        <w:t>’</w:t>
      </w:r>
      <w:r w:rsidRPr="00830E36">
        <w:rPr>
          <w:lang w:val="fr-FR"/>
        </w:rPr>
        <w:t>INFORMATIONS AUX POUR LE SUIVI, LE CONTRÔLE ET LA SURVEILLANCE DES PÊCHES</w:t>
      </w:r>
    </w:p>
    <w:p w14:paraId="0AE8A0C0" w14:textId="196B8E24" w:rsidR="00746BD1" w:rsidRPr="00830E36" w:rsidRDefault="00746BD1">
      <w:pPr>
        <w:rPr>
          <w:lang w:val="fr-FR"/>
        </w:rPr>
      </w:pPr>
    </w:p>
    <w:p w14:paraId="7B5CEC77" w14:textId="74AF0820" w:rsidR="00746BD1" w:rsidRPr="00830E36" w:rsidRDefault="00B577DB">
      <w:pPr>
        <w:pStyle w:val="P68B1DB1-Normal1"/>
        <w:jc w:val="center"/>
        <w:rPr>
          <w:lang w:val="fr-FR"/>
        </w:rPr>
      </w:pPr>
      <w:r w:rsidRPr="00830E36">
        <w:rPr>
          <w:lang w:val="fr-FR"/>
        </w:rPr>
        <w:t>Préambule</w:t>
      </w:r>
    </w:p>
    <w:p w14:paraId="0DF36F50" w14:textId="77777777" w:rsidR="00746BD1" w:rsidRPr="00830E36" w:rsidRDefault="00746BD1">
      <w:pPr>
        <w:jc w:val="center"/>
        <w:rPr>
          <w:b/>
          <w:lang w:val="fr-FR"/>
        </w:rPr>
      </w:pPr>
    </w:p>
    <w:p w14:paraId="3AF27877" w14:textId="2DCA71EF" w:rsidR="00746BD1" w:rsidRPr="00830E36" w:rsidRDefault="00B577DB">
      <w:pPr>
        <w:rPr>
          <w:lang w:val="fr-FR"/>
        </w:rPr>
      </w:pPr>
      <w:r w:rsidRPr="00830E36">
        <w:rPr>
          <w:lang w:val="fr-FR"/>
        </w:rPr>
        <w:t xml:space="preserve">Le préambule fait référence aux documents et décisions </w:t>
      </w:r>
      <w:r w:rsidR="00E963E5">
        <w:rPr>
          <w:lang w:val="fr-FR"/>
        </w:rPr>
        <w:t>correspondants</w:t>
      </w:r>
      <w:r w:rsidRPr="00830E36">
        <w:rPr>
          <w:lang w:val="fr-FR"/>
        </w:rPr>
        <w:t>.</w:t>
      </w:r>
    </w:p>
    <w:p w14:paraId="381F427C" w14:textId="77777777" w:rsidR="00746BD1" w:rsidRPr="00830E36" w:rsidRDefault="00746BD1">
      <w:pPr>
        <w:jc w:val="center"/>
        <w:rPr>
          <w:b/>
          <w:lang w:val="fr-FR"/>
        </w:rPr>
      </w:pPr>
    </w:p>
    <w:p w14:paraId="7F1DC81A" w14:textId="07D60234" w:rsidR="00746BD1" w:rsidRPr="00830E36" w:rsidRDefault="00B577DB">
      <w:pPr>
        <w:pStyle w:val="P68B1DB1-Normal1"/>
        <w:jc w:val="center"/>
        <w:rPr>
          <w:lang w:val="fr-FR"/>
        </w:rPr>
      </w:pPr>
      <w:r w:rsidRPr="00830E36">
        <w:rPr>
          <w:lang w:val="fr-FR"/>
        </w:rPr>
        <w:t xml:space="preserve">Article 1 </w:t>
      </w:r>
    </w:p>
    <w:p w14:paraId="4F013B9E" w14:textId="62AF6E0D" w:rsidR="00746BD1" w:rsidRPr="00830E36" w:rsidRDefault="00B577DB">
      <w:pPr>
        <w:pStyle w:val="P68B1DB1-Normal1"/>
        <w:jc w:val="center"/>
        <w:rPr>
          <w:lang w:val="fr-FR"/>
        </w:rPr>
      </w:pPr>
      <w:r w:rsidRPr="00830E36">
        <w:rPr>
          <w:lang w:val="fr-FR"/>
        </w:rPr>
        <w:t>Emploi des termes</w:t>
      </w:r>
    </w:p>
    <w:p w14:paraId="43594972" w14:textId="53636378" w:rsidR="00746BD1" w:rsidRPr="00830E36" w:rsidRDefault="00746BD1">
      <w:pPr>
        <w:rPr>
          <w:lang w:val="fr-FR"/>
        </w:rPr>
      </w:pPr>
    </w:p>
    <w:p w14:paraId="26EBD042" w14:textId="2A195A05" w:rsidR="00746BD1" w:rsidRPr="00830E36" w:rsidRDefault="00B577DB">
      <w:pPr>
        <w:rPr>
          <w:lang w:val="fr-FR"/>
        </w:rPr>
      </w:pPr>
      <w:r w:rsidRPr="00830E36">
        <w:rPr>
          <w:lang w:val="fr-FR"/>
        </w:rPr>
        <w:t>Cet article a été modifié pour ajouter des termes clés utilisés dans le projet d</w:t>
      </w:r>
      <w:r w:rsidR="00E963E5">
        <w:rPr>
          <w:lang w:val="fr-FR"/>
        </w:rPr>
        <w:t>’</w:t>
      </w:r>
      <w:r w:rsidRPr="00830E36">
        <w:rPr>
          <w:lang w:val="fr-FR"/>
        </w:rPr>
        <w:t>accord, y compris la pêche et les activités liées à la pêche, et pour supprimer les termes qui ne sont pas utilisés dans le texte. Les nouveaux termes sont définis selon les meilleures pratiques.</w:t>
      </w:r>
    </w:p>
    <w:p w14:paraId="0ABB7251" w14:textId="541D53DC" w:rsidR="00746BD1" w:rsidRPr="00830E36" w:rsidRDefault="00746BD1">
      <w:pPr>
        <w:rPr>
          <w:lang w:val="fr-FR"/>
        </w:rPr>
      </w:pPr>
    </w:p>
    <w:p w14:paraId="0426EEE0" w14:textId="2642878C" w:rsidR="00746BD1" w:rsidRPr="00830E36" w:rsidRDefault="00B577DB">
      <w:pPr>
        <w:rPr>
          <w:lang w:val="fr-FR"/>
        </w:rPr>
      </w:pPr>
      <w:r w:rsidRPr="00830E36">
        <w:rPr>
          <w:lang w:val="fr-FR"/>
        </w:rPr>
        <w:t>Les acronymes ne sont normalement pas utilisés dans les accords, mais pour faciliter la compréhension, certains ont été maintenus et sont identifiés dans cet article, par exemple pour SCS (MCS en anglais).</w:t>
      </w:r>
    </w:p>
    <w:p w14:paraId="7FFD5D11" w14:textId="35E852D5" w:rsidR="00746BD1" w:rsidRPr="00830E36" w:rsidRDefault="00746BD1">
      <w:pPr>
        <w:rPr>
          <w:lang w:val="fr-FR"/>
        </w:rPr>
      </w:pPr>
    </w:p>
    <w:p w14:paraId="1F018B1F" w14:textId="3B210194" w:rsidR="00746BD1" w:rsidRPr="00830E36" w:rsidRDefault="00B577DB">
      <w:pPr>
        <w:rPr>
          <w:lang w:val="fr-FR"/>
        </w:rPr>
      </w:pPr>
      <w:r w:rsidRPr="00830E36">
        <w:rPr>
          <w:lang w:val="fr-FR"/>
        </w:rPr>
        <w:t>Noter que les termes clés suivants sont définis (entre autres) et doivent être utilisés de manière cohérente tout au long de l</w:t>
      </w:r>
      <w:r w:rsidR="00E963E5">
        <w:rPr>
          <w:lang w:val="fr-FR"/>
        </w:rPr>
        <w:t>’</w:t>
      </w:r>
      <w:r w:rsidRPr="00830E36">
        <w:rPr>
          <w:lang w:val="fr-FR"/>
        </w:rPr>
        <w:t>accord, en gardant à l</w:t>
      </w:r>
      <w:r w:rsidR="00E963E5">
        <w:rPr>
          <w:lang w:val="fr-FR"/>
        </w:rPr>
        <w:t>’</w:t>
      </w:r>
      <w:r w:rsidRPr="00830E36">
        <w:rPr>
          <w:lang w:val="fr-FR"/>
        </w:rPr>
        <w:t>esprit leur signification.</w:t>
      </w:r>
    </w:p>
    <w:p w14:paraId="2B148AD4" w14:textId="4E1E9E50" w:rsidR="00746BD1" w:rsidRPr="00830E36" w:rsidRDefault="00746BD1">
      <w:pPr>
        <w:rPr>
          <w:lang w:val="fr-FR"/>
        </w:rPr>
      </w:pPr>
    </w:p>
    <w:p w14:paraId="07AC3EDA" w14:textId="2B54402E" w:rsidR="00746BD1" w:rsidRPr="00830E36" w:rsidRDefault="00B577DB">
      <w:pPr>
        <w:pStyle w:val="P68B1DB1-Normal2"/>
        <w:rPr>
          <w:lang w:val="fr-FR"/>
        </w:rPr>
      </w:pPr>
      <w:r w:rsidRPr="00830E36">
        <w:rPr>
          <w:lang w:val="fr-FR"/>
        </w:rPr>
        <w:t>A examiner</w:t>
      </w:r>
      <w:r w:rsidR="00FB332C" w:rsidRPr="00830E36">
        <w:rPr>
          <w:lang w:val="fr-FR"/>
        </w:rPr>
        <w:t xml:space="preserve"> </w:t>
      </w:r>
      <w:r w:rsidRPr="00830E36">
        <w:rPr>
          <w:lang w:val="fr-FR"/>
        </w:rPr>
        <w:t>:</w:t>
      </w:r>
    </w:p>
    <w:p w14:paraId="58CBB541" w14:textId="77777777" w:rsidR="00746BD1" w:rsidRPr="00830E36" w:rsidRDefault="00746BD1">
      <w:pPr>
        <w:rPr>
          <w:lang w:val="fr-FR"/>
        </w:rPr>
      </w:pPr>
    </w:p>
    <w:p w14:paraId="1FFEEE50" w14:textId="09B0A011" w:rsidR="00746BD1" w:rsidRPr="00830E36" w:rsidRDefault="00FB332C">
      <w:pPr>
        <w:rPr>
          <w:i/>
          <w:lang w:val="fr-FR"/>
        </w:rPr>
      </w:pPr>
      <w:r w:rsidRPr="00830E36">
        <w:rPr>
          <w:lang w:val="fr-FR"/>
        </w:rPr>
        <w:t>​« Echange d</w:t>
      </w:r>
      <w:r w:rsidR="00E963E5">
        <w:rPr>
          <w:lang w:val="fr-FR"/>
        </w:rPr>
        <w:t>’</w:t>
      </w:r>
      <w:r w:rsidRPr="00830E36">
        <w:rPr>
          <w:lang w:val="fr-FR"/>
        </w:rPr>
        <w:t xml:space="preserve">informations​ » se </w:t>
      </w:r>
      <w:r w:rsidR="00830E36" w:rsidRPr="00830E36">
        <w:rPr>
          <w:lang w:val="fr-FR"/>
        </w:rPr>
        <w:t>réfère</w:t>
      </w:r>
      <w:r w:rsidRPr="00830E36">
        <w:rPr>
          <w:lang w:val="fr-FR"/>
        </w:rPr>
        <w:t xml:space="preserve"> à toute communication d</w:t>
      </w:r>
      <w:r w:rsidR="00E963E5">
        <w:rPr>
          <w:lang w:val="fr-FR"/>
        </w:rPr>
        <w:t>’</w:t>
      </w:r>
      <w:r w:rsidRPr="00830E36">
        <w:rPr>
          <w:lang w:val="fr-FR"/>
        </w:rPr>
        <w:t>informations relatives à la pêche aux fins du SCS ou de la gestion de la pêche, ainsi que de la fourniture, de la réception ou de la collecte de renseignements stratégiques pour le SCS de la pêche, y compris le partage d</w:t>
      </w:r>
      <w:r w:rsidR="00E963E5">
        <w:rPr>
          <w:lang w:val="fr-FR"/>
        </w:rPr>
        <w:t>’</w:t>
      </w:r>
      <w:r w:rsidRPr="00830E36">
        <w:rPr>
          <w:lang w:val="fr-FR"/>
        </w:rPr>
        <w:t xml:space="preserve">informations. </w:t>
      </w:r>
      <w:r w:rsidR="00B577DB" w:rsidRPr="00830E36">
        <w:rPr>
          <w:i/>
          <w:lang w:val="fr-FR"/>
        </w:rPr>
        <w:t>Par conséquent, « échange » comprend le « partage », qui n</w:t>
      </w:r>
      <w:r w:rsidR="00E963E5">
        <w:rPr>
          <w:i/>
          <w:lang w:val="fr-FR"/>
        </w:rPr>
        <w:t>’</w:t>
      </w:r>
      <w:r w:rsidR="00B577DB" w:rsidRPr="00830E36">
        <w:rPr>
          <w:i/>
          <w:lang w:val="fr-FR"/>
        </w:rPr>
        <w:t>a pas besoin d</w:t>
      </w:r>
      <w:r w:rsidR="00E963E5">
        <w:rPr>
          <w:i/>
          <w:lang w:val="fr-FR"/>
        </w:rPr>
        <w:t>’</w:t>
      </w:r>
      <w:r w:rsidR="00B577DB" w:rsidRPr="00830E36">
        <w:rPr>
          <w:i/>
          <w:lang w:val="fr-FR"/>
        </w:rPr>
        <w:t>être répété.</w:t>
      </w:r>
    </w:p>
    <w:p w14:paraId="6AC2C210" w14:textId="4C9BD4ED" w:rsidR="00746BD1" w:rsidRPr="00830E36" w:rsidRDefault="00746BD1">
      <w:pPr>
        <w:rPr>
          <w:lang w:val="fr-FR"/>
        </w:rPr>
      </w:pPr>
    </w:p>
    <w:p w14:paraId="06E12C33" w14:textId="572F93B8" w:rsidR="00746BD1" w:rsidRPr="00830E36" w:rsidRDefault="00FB332C">
      <w:pPr>
        <w:rPr>
          <w:lang w:val="fr-FR"/>
        </w:rPr>
      </w:pPr>
      <w:r w:rsidRPr="00830E36">
        <w:rPr>
          <w:lang w:val="fr-FR"/>
        </w:rPr>
        <w:t xml:space="preserve">​« Informations sur les pêches »​ comprend toute information ou donnée, sur quelque support que ce soit, y compris électronique, documenté, reproduit ou autre, qui peut être pertinente, directement ou indirectement, à toute fin de gestion ou de SCS des pêches aux niveaux national, régional ou international ; </w:t>
      </w:r>
      <w:r w:rsidR="00B577DB" w:rsidRPr="00830E36">
        <w:rPr>
          <w:i/>
          <w:lang w:val="fr-FR"/>
        </w:rPr>
        <w:t>L</w:t>
      </w:r>
      <w:r w:rsidR="00E963E5">
        <w:rPr>
          <w:i/>
          <w:lang w:val="fr-FR"/>
        </w:rPr>
        <w:t>’</w:t>
      </w:r>
      <w:r w:rsidR="00B577DB" w:rsidRPr="00830E36">
        <w:rPr>
          <w:i/>
          <w:lang w:val="fr-FR"/>
        </w:rPr>
        <w:t>expression « informations ou données » a été utilisée pour être complète, et l</w:t>
      </w:r>
      <w:r w:rsidR="00E963E5">
        <w:rPr>
          <w:i/>
          <w:lang w:val="fr-FR"/>
        </w:rPr>
        <w:t>’</w:t>
      </w:r>
      <w:r w:rsidR="00B577DB" w:rsidRPr="00830E36">
        <w:rPr>
          <w:i/>
          <w:lang w:val="fr-FR"/>
        </w:rPr>
        <w:t>expression « gestion des pêches » a été ajoutée pour exame</w:t>
      </w:r>
      <w:r w:rsidR="00E50F0C">
        <w:rPr>
          <w:i/>
          <w:lang w:val="fr-FR"/>
        </w:rPr>
        <w:t>n. Les termes « information » et « </w:t>
      </w:r>
      <w:r w:rsidR="00B577DB" w:rsidRPr="00830E36">
        <w:rPr>
          <w:i/>
          <w:lang w:val="fr-FR"/>
        </w:rPr>
        <w:t>données</w:t>
      </w:r>
      <w:r w:rsidR="00E50F0C">
        <w:rPr>
          <w:i/>
          <w:lang w:val="fr-FR"/>
        </w:rPr>
        <w:t> »</w:t>
      </w:r>
      <w:r w:rsidR="00B577DB" w:rsidRPr="00830E36">
        <w:rPr>
          <w:i/>
          <w:lang w:val="fr-FR"/>
        </w:rPr>
        <w:t xml:space="preserve"> ont été utilisés de manière inégale dans l</w:t>
      </w:r>
      <w:r w:rsidR="00E963E5">
        <w:rPr>
          <w:i/>
          <w:lang w:val="fr-FR"/>
        </w:rPr>
        <w:t>’</w:t>
      </w:r>
      <w:r w:rsidR="00B577DB" w:rsidRPr="00830E36">
        <w:rPr>
          <w:i/>
          <w:lang w:val="fr-FR"/>
        </w:rPr>
        <w:t>ensemble du texte, et par conséquent, le terme « informations sur les pêches » est maintenant utilisé pour inclure les deux.</w:t>
      </w:r>
      <w:r w:rsidR="00B577DB" w:rsidRPr="00830E36">
        <w:rPr>
          <w:lang w:val="fr-FR"/>
        </w:rPr>
        <w:t xml:space="preserve"> </w:t>
      </w:r>
    </w:p>
    <w:p w14:paraId="7653203D" w14:textId="6E08A843" w:rsidR="00746BD1" w:rsidRPr="00830E36" w:rsidRDefault="00746BD1">
      <w:pPr>
        <w:rPr>
          <w:lang w:val="fr-FR"/>
        </w:rPr>
      </w:pPr>
    </w:p>
    <w:p w14:paraId="5D2C05F4" w14:textId="54EF57B5" w:rsidR="00746BD1" w:rsidRPr="00830E36" w:rsidRDefault="00B577DB">
      <w:pPr>
        <w:rPr>
          <w:i/>
          <w:lang w:val="fr-FR"/>
        </w:rPr>
      </w:pPr>
      <w:r w:rsidRPr="00830E36">
        <w:rPr>
          <w:lang w:val="fr-FR"/>
        </w:rPr>
        <w:t xml:space="preserve">« Suivi, contrôle et surveillance » (SCS) </w:t>
      </w:r>
      <w:r w:rsidRPr="00830E36">
        <w:rPr>
          <w:rFonts w:eastAsia="Calibri" w:cs="Times New Roman"/>
          <w:lang w:val="fr-FR"/>
        </w:rPr>
        <w:t xml:space="preserve">se </w:t>
      </w:r>
      <w:r w:rsidR="00830E36" w:rsidRPr="00830E36">
        <w:rPr>
          <w:rFonts w:eastAsia="Calibri" w:cs="Times New Roman"/>
          <w:lang w:val="fr-FR"/>
        </w:rPr>
        <w:t>réfère</w:t>
      </w:r>
      <w:r w:rsidR="00830E36">
        <w:rPr>
          <w:rFonts w:eastAsia="Calibri" w:cs="Times New Roman"/>
          <w:lang w:val="fr-FR"/>
        </w:rPr>
        <w:t xml:space="preserve"> </w:t>
      </w:r>
      <w:r w:rsidRPr="00830E36">
        <w:rPr>
          <w:rFonts w:eastAsia="Calibri" w:cs="Times New Roman"/>
          <w:lang w:val="fr-FR"/>
        </w:rPr>
        <w:t xml:space="preserve">au suivi, contrôle, surveillance et application des activités de pêche et des activités connexes ; </w:t>
      </w:r>
      <w:r w:rsidRPr="00830E36">
        <w:rPr>
          <w:rFonts w:eastAsia="Calibri" w:cs="Times New Roman"/>
          <w:i/>
          <w:lang w:val="fr-FR"/>
        </w:rPr>
        <w:t xml:space="preserve">Cela signifie que le « le SCS de pêche » est </w:t>
      </w:r>
      <w:r w:rsidR="00830E36" w:rsidRPr="00830E36">
        <w:rPr>
          <w:rFonts w:eastAsia="Calibri" w:cs="Times New Roman"/>
          <w:i/>
          <w:lang w:val="fr-FR"/>
        </w:rPr>
        <w:t>redondant ;</w:t>
      </w:r>
      <w:r w:rsidRPr="00830E36">
        <w:rPr>
          <w:rFonts w:eastAsia="Calibri" w:cs="Times New Roman"/>
          <w:i/>
          <w:lang w:val="fr-FR"/>
        </w:rPr>
        <w:t xml:space="preserve"> la référence au SCS est suffisante. « Les activités liées à la pêche » ont été ajoutées et sont définies séparément.</w:t>
      </w:r>
    </w:p>
    <w:p w14:paraId="3602C8C8" w14:textId="77777777" w:rsidR="00746BD1" w:rsidRPr="00830E36" w:rsidRDefault="00746BD1">
      <w:pPr>
        <w:rPr>
          <w:lang w:val="fr-FR"/>
        </w:rPr>
      </w:pPr>
    </w:p>
    <w:p w14:paraId="76A13BD8" w14:textId="77777777" w:rsidR="00746BD1" w:rsidRPr="00830E36" w:rsidRDefault="00B577DB">
      <w:pPr>
        <w:pStyle w:val="P68B1DB1-Normal1"/>
        <w:jc w:val="center"/>
        <w:rPr>
          <w:lang w:val="fr-FR"/>
        </w:rPr>
      </w:pPr>
      <w:r w:rsidRPr="00830E36">
        <w:rPr>
          <w:lang w:val="fr-FR"/>
        </w:rPr>
        <w:t xml:space="preserve">Article 2 </w:t>
      </w:r>
    </w:p>
    <w:p w14:paraId="5F4D0FCC" w14:textId="5ADAE8C9" w:rsidR="00746BD1" w:rsidRPr="00830E36" w:rsidRDefault="00B577DB">
      <w:pPr>
        <w:pStyle w:val="P68B1DB1-Normal1"/>
        <w:jc w:val="center"/>
        <w:rPr>
          <w:lang w:val="fr-FR"/>
        </w:rPr>
      </w:pPr>
      <w:r w:rsidRPr="00830E36">
        <w:rPr>
          <w:lang w:val="fr-FR"/>
        </w:rPr>
        <w:t>Objectif et cadre de coopération régionale</w:t>
      </w:r>
    </w:p>
    <w:p w14:paraId="6AAB2944" w14:textId="435B0366" w:rsidR="00746BD1" w:rsidRPr="00830E36" w:rsidRDefault="00746BD1">
      <w:pPr>
        <w:rPr>
          <w:lang w:val="fr-FR"/>
        </w:rPr>
      </w:pPr>
    </w:p>
    <w:p w14:paraId="159E36E6" w14:textId="60A5FB76" w:rsidR="00746BD1" w:rsidRPr="00830E36" w:rsidRDefault="00B577DB">
      <w:pPr>
        <w:rPr>
          <w:lang w:val="fr-FR"/>
        </w:rPr>
      </w:pPr>
      <w:r w:rsidRPr="00830E36">
        <w:rPr>
          <w:lang w:val="fr-FR"/>
        </w:rPr>
        <w:t>Élabore l</w:t>
      </w:r>
      <w:r w:rsidR="00E963E5">
        <w:rPr>
          <w:lang w:val="fr-FR"/>
        </w:rPr>
        <w:t>’</w:t>
      </w:r>
      <w:r w:rsidRPr="00830E36">
        <w:rPr>
          <w:lang w:val="fr-FR"/>
        </w:rPr>
        <w:t>objectif général de mettre en place un cadre de coopération régionale et énonce des objectifs spécifiques.</w:t>
      </w:r>
    </w:p>
    <w:p w14:paraId="2D56E42D" w14:textId="376AF150" w:rsidR="00746BD1" w:rsidRPr="00830E36" w:rsidRDefault="00746BD1">
      <w:pPr>
        <w:rPr>
          <w:lang w:val="fr-FR"/>
        </w:rPr>
      </w:pPr>
    </w:p>
    <w:p w14:paraId="656657B7" w14:textId="77777777" w:rsidR="00746BD1" w:rsidRPr="00830E36" w:rsidRDefault="00B577DB">
      <w:pPr>
        <w:pStyle w:val="P68B1DB1-Normal1"/>
        <w:jc w:val="center"/>
        <w:rPr>
          <w:lang w:val="fr-FR"/>
        </w:rPr>
      </w:pPr>
      <w:r w:rsidRPr="00830E36">
        <w:rPr>
          <w:lang w:val="fr-FR"/>
        </w:rPr>
        <w:t xml:space="preserve">Article 3 </w:t>
      </w:r>
    </w:p>
    <w:p w14:paraId="1CB85A63" w14:textId="327D24FC" w:rsidR="00746BD1" w:rsidRPr="00830E36" w:rsidRDefault="00B577DB">
      <w:pPr>
        <w:pStyle w:val="P68B1DB1-Normal1"/>
        <w:jc w:val="center"/>
        <w:rPr>
          <w:lang w:val="fr-FR"/>
        </w:rPr>
      </w:pPr>
      <w:r w:rsidRPr="00830E36">
        <w:rPr>
          <w:lang w:val="fr-FR"/>
        </w:rPr>
        <w:t>Champ d</w:t>
      </w:r>
      <w:r w:rsidR="00E963E5">
        <w:rPr>
          <w:lang w:val="fr-FR"/>
        </w:rPr>
        <w:t>’</w:t>
      </w:r>
      <w:r w:rsidRPr="00830E36">
        <w:rPr>
          <w:lang w:val="fr-FR"/>
        </w:rPr>
        <w:t>application</w:t>
      </w:r>
    </w:p>
    <w:p w14:paraId="32295F3D" w14:textId="78377575" w:rsidR="00746BD1" w:rsidRPr="00830E36" w:rsidRDefault="00746BD1">
      <w:pPr>
        <w:rPr>
          <w:lang w:val="fr-FR"/>
        </w:rPr>
      </w:pPr>
    </w:p>
    <w:p w14:paraId="02A20298" w14:textId="5BF91FCC" w:rsidR="00746BD1" w:rsidRPr="00830E36" w:rsidRDefault="00B577DB">
      <w:pPr>
        <w:rPr>
          <w:lang w:val="fr-FR"/>
        </w:rPr>
      </w:pPr>
      <w:r w:rsidRPr="00830E36">
        <w:rPr>
          <w:lang w:val="fr-FR"/>
        </w:rPr>
        <w:lastRenderedPageBreak/>
        <w:t>L</w:t>
      </w:r>
      <w:r w:rsidR="00E963E5">
        <w:rPr>
          <w:lang w:val="fr-FR"/>
        </w:rPr>
        <w:t>’</w:t>
      </w:r>
      <w:r w:rsidRPr="00830E36">
        <w:rPr>
          <w:lang w:val="fr-FR"/>
        </w:rPr>
        <w:t>accord s</w:t>
      </w:r>
      <w:r w:rsidR="00E963E5">
        <w:rPr>
          <w:lang w:val="fr-FR"/>
        </w:rPr>
        <w:t>’</w:t>
      </w:r>
      <w:r w:rsidRPr="00830E36">
        <w:rPr>
          <w:lang w:val="fr-FR"/>
        </w:rPr>
        <w:t>applique à la zone de coopération (définie à l</w:t>
      </w:r>
      <w:r w:rsidR="00E963E5">
        <w:rPr>
          <w:lang w:val="fr-FR"/>
        </w:rPr>
        <w:t>’</w:t>
      </w:r>
      <w:r w:rsidRPr="00830E36">
        <w:rPr>
          <w:lang w:val="fr-FR"/>
        </w:rPr>
        <w:t>Annexe I et spécifiquement à des fins de surveillance et de conservation des pêches) et aux navires battant pavillon des parties dans les zones situées au-delà de leur juridiction nationale.</w:t>
      </w:r>
    </w:p>
    <w:p w14:paraId="7D140249" w14:textId="03A8B31E" w:rsidR="00746BD1" w:rsidRPr="00830E36" w:rsidRDefault="00746BD1">
      <w:pPr>
        <w:rPr>
          <w:lang w:val="fr-FR"/>
        </w:rPr>
      </w:pPr>
    </w:p>
    <w:p w14:paraId="2817BCC4" w14:textId="153ED1C2" w:rsidR="00746BD1" w:rsidRPr="00830E36" w:rsidRDefault="00B577DB">
      <w:pPr>
        <w:pStyle w:val="P68B1DB1-Normal2"/>
        <w:rPr>
          <w:lang w:val="fr-FR"/>
        </w:rPr>
      </w:pPr>
      <w:r w:rsidRPr="00830E36">
        <w:rPr>
          <w:lang w:val="fr-FR"/>
        </w:rPr>
        <w:t>A examiner</w:t>
      </w:r>
      <w:r w:rsidR="00830E36">
        <w:rPr>
          <w:lang w:val="fr-FR"/>
        </w:rPr>
        <w:t xml:space="preserve"> </w:t>
      </w:r>
      <w:r w:rsidRPr="00830E36">
        <w:rPr>
          <w:lang w:val="fr-FR"/>
        </w:rPr>
        <w:t xml:space="preserve">: </w:t>
      </w:r>
    </w:p>
    <w:p w14:paraId="000802AB" w14:textId="77777777" w:rsidR="00746BD1" w:rsidRPr="00830E36" w:rsidRDefault="00746BD1">
      <w:pPr>
        <w:rPr>
          <w:lang w:val="fr-FR"/>
        </w:rPr>
      </w:pPr>
    </w:p>
    <w:p w14:paraId="79EC3E77" w14:textId="677F958C" w:rsidR="00746BD1" w:rsidRPr="00830E36" w:rsidRDefault="00B577DB">
      <w:pPr>
        <w:rPr>
          <w:lang w:val="fr-FR"/>
        </w:rPr>
      </w:pPr>
      <w:r w:rsidRPr="00830E36">
        <w:rPr>
          <w:lang w:val="fr-FR"/>
        </w:rPr>
        <w:t>En général, les articles se référant aux VMS et aux observations spécifiques à la Zone de Coopération devraient être revus.</w:t>
      </w:r>
    </w:p>
    <w:p w14:paraId="64C2613A" w14:textId="77777777" w:rsidR="00746BD1" w:rsidRPr="00830E36" w:rsidRDefault="00746BD1">
      <w:pPr>
        <w:rPr>
          <w:lang w:val="fr-FR"/>
        </w:rPr>
      </w:pPr>
    </w:p>
    <w:p w14:paraId="6054F064" w14:textId="05296946" w:rsidR="00746BD1" w:rsidRPr="00830E36" w:rsidRDefault="00B577DB">
      <w:pPr>
        <w:rPr>
          <w:lang w:val="fr-FR"/>
        </w:rPr>
      </w:pPr>
      <w:r w:rsidRPr="00830E36">
        <w:rPr>
          <w:lang w:val="fr-FR"/>
        </w:rPr>
        <w:t>Annexe I</w:t>
      </w:r>
    </w:p>
    <w:p w14:paraId="2019A198" w14:textId="0C7571C2" w:rsidR="00746BD1" w:rsidRPr="00830E36" w:rsidRDefault="00746BD1">
      <w:pPr>
        <w:rPr>
          <w:lang w:val="fr-FR"/>
        </w:rPr>
      </w:pPr>
    </w:p>
    <w:p w14:paraId="1099E457" w14:textId="7AD98E4E" w:rsidR="00746BD1" w:rsidRPr="00830E36" w:rsidRDefault="00746BD1">
      <w:pPr>
        <w:rPr>
          <w:lang w:val="fr-FR"/>
        </w:rPr>
      </w:pPr>
    </w:p>
    <w:p w14:paraId="092C6786" w14:textId="77777777" w:rsidR="00746BD1" w:rsidRPr="00830E36" w:rsidRDefault="00B577DB">
      <w:pPr>
        <w:pStyle w:val="P68B1DB1-Normal1"/>
        <w:jc w:val="center"/>
        <w:rPr>
          <w:lang w:val="fr-FR"/>
        </w:rPr>
      </w:pPr>
      <w:r w:rsidRPr="00830E36">
        <w:rPr>
          <w:lang w:val="fr-FR"/>
        </w:rPr>
        <w:t xml:space="preserve">Article 4 </w:t>
      </w:r>
    </w:p>
    <w:p w14:paraId="314A2D69" w14:textId="223FEB23" w:rsidR="00746BD1" w:rsidRPr="00830E36" w:rsidRDefault="00B577DB">
      <w:pPr>
        <w:pStyle w:val="P68B1DB1-Normal1"/>
        <w:jc w:val="center"/>
        <w:rPr>
          <w:lang w:val="fr-FR"/>
        </w:rPr>
      </w:pPr>
      <w:r w:rsidRPr="00830E36">
        <w:rPr>
          <w:lang w:val="fr-FR"/>
        </w:rPr>
        <w:t>Parties et partenaires au présent Accord</w:t>
      </w:r>
    </w:p>
    <w:p w14:paraId="06228B57" w14:textId="76484CA3" w:rsidR="00746BD1" w:rsidRPr="00830E36" w:rsidRDefault="00746BD1">
      <w:pPr>
        <w:rPr>
          <w:lang w:val="fr-FR"/>
        </w:rPr>
      </w:pPr>
    </w:p>
    <w:p w14:paraId="53C7E837" w14:textId="1E6F8127" w:rsidR="00746BD1" w:rsidRPr="00830E36" w:rsidRDefault="00B577DB">
      <w:pPr>
        <w:spacing w:after="200" w:line="276" w:lineRule="auto"/>
        <w:rPr>
          <w:lang w:val="fr-FR"/>
        </w:rPr>
      </w:pPr>
      <w:r w:rsidRPr="00830E36">
        <w:rPr>
          <w:lang w:val="fr-FR"/>
        </w:rPr>
        <w:t>Il décrit les parties remplissant les conditions requises et prévoit l</w:t>
      </w:r>
      <w:r w:rsidR="00E963E5">
        <w:rPr>
          <w:lang w:val="fr-FR"/>
        </w:rPr>
        <w:t>’</w:t>
      </w:r>
      <w:r w:rsidRPr="00830E36">
        <w:rPr>
          <w:lang w:val="fr-FR"/>
        </w:rPr>
        <w:t>adhésion de nouveaux États coopérants après l</w:t>
      </w:r>
      <w:r w:rsidR="00E963E5">
        <w:rPr>
          <w:lang w:val="fr-FR"/>
        </w:rPr>
        <w:t>’</w:t>
      </w:r>
      <w:r w:rsidRPr="00830E36">
        <w:rPr>
          <w:lang w:val="fr-FR"/>
        </w:rPr>
        <w:t>entrée en vigueur et conformément aux articles 14 et 15.</w:t>
      </w:r>
    </w:p>
    <w:p w14:paraId="0AB12EF9" w14:textId="4BE9DEFE" w:rsidR="00746BD1" w:rsidRPr="00830E36" w:rsidRDefault="00B577DB">
      <w:pPr>
        <w:spacing w:after="200" w:line="276" w:lineRule="auto"/>
        <w:rPr>
          <w:lang w:val="fr-FR"/>
        </w:rPr>
      </w:pPr>
      <w:r w:rsidRPr="00830E36">
        <w:rPr>
          <w:lang w:val="fr-FR"/>
        </w:rPr>
        <w:t>Des accords de partenariat coopératif peuvent être conclus pour la mise en œuvre du présent Accord avec des organisations régionales ou des organisations internationales ayant pour mandat la gestion des pêches, le SCS des pêches ou la sécurité maritime.</w:t>
      </w:r>
    </w:p>
    <w:p w14:paraId="5A80F119" w14:textId="283094E9" w:rsidR="00746BD1" w:rsidRPr="00830E36" w:rsidRDefault="00B577DB">
      <w:pPr>
        <w:spacing w:after="200" w:line="276" w:lineRule="auto"/>
        <w:rPr>
          <w:lang w:val="fr-FR"/>
        </w:rPr>
      </w:pPr>
      <w:r w:rsidRPr="00830E36">
        <w:rPr>
          <w:lang w:val="fr-FR"/>
        </w:rPr>
        <w:t>A noter que l</w:t>
      </w:r>
      <w:r w:rsidR="00E963E5">
        <w:rPr>
          <w:lang w:val="fr-FR"/>
        </w:rPr>
        <w:t>’</w:t>
      </w:r>
      <w:r w:rsidRPr="00830E36">
        <w:rPr>
          <w:lang w:val="fr-FR"/>
        </w:rPr>
        <w:t>UCR a recommandé que les termes « Partenaires » so</w:t>
      </w:r>
      <w:r w:rsidR="00830E36">
        <w:rPr>
          <w:lang w:val="fr-FR"/>
        </w:rPr>
        <w:t xml:space="preserve">ient appliqués, le cas échéant, </w:t>
      </w:r>
      <w:r w:rsidRPr="00830E36">
        <w:rPr>
          <w:lang w:val="fr-FR"/>
        </w:rPr>
        <w:t>tout au long du document.</w:t>
      </w:r>
    </w:p>
    <w:p w14:paraId="50794FBB" w14:textId="3C9F95CD" w:rsidR="00746BD1" w:rsidRPr="00830E36" w:rsidRDefault="00B577DB">
      <w:pPr>
        <w:spacing w:after="200" w:line="276" w:lineRule="auto"/>
        <w:rPr>
          <w:lang w:val="fr-FR"/>
        </w:rPr>
      </w:pPr>
      <w:r w:rsidRPr="00830E36">
        <w:rPr>
          <w:b/>
          <w:i/>
          <w:lang w:val="fr-FR"/>
        </w:rPr>
        <w:t>A</w:t>
      </w:r>
      <w:r w:rsidR="00830E36">
        <w:rPr>
          <w:b/>
          <w:i/>
          <w:lang w:val="fr-FR"/>
        </w:rPr>
        <w:t xml:space="preserve"> examiner : </w:t>
      </w:r>
    </w:p>
    <w:p w14:paraId="012F7ECA" w14:textId="7DEB8EB4" w:rsidR="00746BD1" w:rsidRPr="00830E36" w:rsidRDefault="00B577DB">
      <w:pPr>
        <w:spacing w:after="200" w:line="276" w:lineRule="auto"/>
        <w:rPr>
          <w:lang w:val="fr-FR"/>
        </w:rPr>
      </w:pPr>
      <w:r w:rsidRPr="00830E36">
        <w:rPr>
          <w:lang w:val="fr-FR"/>
        </w:rPr>
        <w:t>Placement du paragraphe 4 : « Les Parties [s</w:t>
      </w:r>
      <w:r w:rsidR="00E963E5">
        <w:rPr>
          <w:lang w:val="fr-FR"/>
        </w:rPr>
        <w:t>’</w:t>
      </w:r>
      <w:r w:rsidRPr="00830E36">
        <w:rPr>
          <w:lang w:val="fr-FR"/>
        </w:rPr>
        <w:t>engagent à] coopérer de bonne foi à la mise en œuvre des dispositions du présent Accord. » Il a été suggéré de l</w:t>
      </w:r>
      <w:r w:rsidR="00E963E5">
        <w:rPr>
          <w:lang w:val="fr-FR"/>
        </w:rPr>
        <w:t>’</w:t>
      </w:r>
      <w:r w:rsidRPr="00830E36">
        <w:rPr>
          <w:lang w:val="fr-FR"/>
        </w:rPr>
        <w:t>insérer dans le présent article, à l</w:t>
      </w:r>
      <w:r w:rsidR="00E963E5">
        <w:rPr>
          <w:lang w:val="fr-FR"/>
        </w:rPr>
        <w:t>’</w:t>
      </w:r>
      <w:r w:rsidRPr="00830E36">
        <w:rPr>
          <w:lang w:val="fr-FR"/>
        </w:rPr>
        <w:t>article 5 « Principes généraux » ou à l</w:t>
      </w:r>
      <w:r w:rsidR="00E963E5">
        <w:rPr>
          <w:lang w:val="fr-FR"/>
        </w:rPr>
        <w:t>’</w:t>
      </w:r>
      <w:r w:rsidRPr="00830E36">
        <w:rPr>
          <w:lang w:val="fr-FR"/>
        </w:rPr>
        <w:t xml:space="preserve">article 6 « Responsabilités des Parties ». </w:t>
      </w:r>
    </w:p>
    <w:p w14:paraId="589820F0" w14:textId="5F348CD3" w:rsidR="00746BD1" w:rsidRPr="00830E36" w:rsidRDefault="00746BD1">
      <w:pPr>
        <w:rPr>
          <w:lang w:val="fr-FR"/>
        </w:rPr>
      </w:pPr>
    </w:p>
    <w:p w14:paraId="5BB11E0C" w14:textId="77777777" w:rsidR="00746BD1" w:rsidRPr="00830E36" w:rsidRDefault="00B577DB">
      <w:pPr>
        <w:pStyle w:val="P68B1DB1-Normal1"/>
        <w:jc w:val="center"/>
        <w:rPr>
          <w:lang w:val="fr-FR"/>
        </w:rPr>
      </w:pPr>
      <w:r w:rsidRPr="00830E36">
        <w:rPr>
          <w:lang w:val="fr-FR"/>
        </w:rPr>
        <w:t xml:space="preserve">Article 5 </w:t>
      </w:r>
    </w:p>
    <w:p w14:paraId="79C26681" w14:textId="030115E2" w:rsidR="00746BD1" w:rsidRPr="00830E36" w:rsidRDefault="00B577DB">
      <w:pPr>
        <w:pStyle w:val="P68B1DB1-Normal1"/>
        <w:jc w:val="center"/>
        <w:rPr>
          <w:lang w:val="fr-FR"/>
        </w:rPr>
      </w:pPr>
      <w:r w:rsidRPr="00830E36">
        <w:rPr>
          <w:lang w:val="fr-FR"/>
        </w:rPr>
        <w:t>Principes généraux</w:t>
      </w:r>
    </w:p>
    <w:p w14:paraId="31E3561B" w14:textId="77777777" w:rsidR="00746BD1" w:rsidRPr="00830E36" w:rsidRDefault="00746BD1">
      <w:pPr>
        <w:rPr>
          <w:b/>
          <w:lang w:val="fr-FR"/>
        </w:rPr>
      </w:pPr>
    </w:p>
    <w:p w14:paraId="796B0B5E" w14:textId="1EA414C3" w:rsidR="00746BD1" w:rsidRPr="00830E36" w:rsidRDefault="00B577DB">
      <w:pPr>
        <w:rPr>
          <w:lang w:val="fr-FR"/>
        </w:rPr>
      </w:pPr>
      <w:r w:rsidRPr="00830E36">
        <w:rPr>
          <w:lang w:val="fr-FR"/>
        </w:rPr>
        <w:t>Il fournit des principes généraux pour promouvoir la mise en œuvre effective de l</w:t>
      </w:r>
      <w:r w:rsidR="00E963E5">
        <w:rPr>
          <w:lang w:val="fr-FR"/>
        </w:rPr>
        <w:t>’</w:t>
      </w:r>
      <w:r w:rsidRPr="00830E36">
        <w:rPr>
          <w:lang w:val="fr-FR"/>
        </w:rPr>
        <w:t>Accord, y compris :</w:t>
      </w:r>
    </w:p>
    <w:p w14:paraId="1AA012E1" w14:textId="77777777" w:rsidR="00746BD1" w:rsidRPr="00830E36" w:rsidRDefault="00746BD1">
      <w:pPr>
        <w:rPr>
          <w:lang w:val="fr-FR"/>
        </w:rPr>
      </w:pPr>
    </w:p>
    <w:p w14:paraId="0A0113CA" w14:textId="5AD19674" w:rsidR="00746BD1" w:rsidRPr="00830E36" w:rsidRDefault="00B577DB">
      <w:pPr>
        <w:pStyle w:val="ListParagraph"/>
        <w:numPr>
          <w:ilvl w:val="0"/>
          <w:numId w:val="3"/>
        </w:numPr>
        <w:rPr>
          <w:lang w:val="fr-FR"/>
        </w:rPr>
      </w:pPr>
      <w:r w:rsidRPr="00830E36">
        <w:rPr>
          <w:lang w:val="fr-FR"/>
        </w:rPr>
        <w:t>utiliser efficacement le mécanisme d</w:t>
      </w:r>
      <w:r w:rsidR="00E963E5">
        <w:rPr>
          <w:lang w:val="fr-FR"/>
        </w:rPr>
        <w:t>’</w:t>
      </w:r>
      <w:r w:rsidRPr="00830E36">
        <w:rPr>
          <w:lang w:val="fr-FR"/>
        </w:rPr>
        <w:t>échange d</w:t>
      </w:r>
      <w:r w:rsidR="00E963E5">
        <w:rPr>
          <w:lang w:val="fr-FR"/>
        </w:rPr>
        <w:t>’</w:t>
      </w:r>
      <w:r w:rsidRPr="00830E36">
        <w:rPr>
          <w:lang w:val="fr-FR"/>
        </w:rPr>
        <w:t>informations dans toute la mesure du possible ;</w:t>
      </w:r>
    </w:p>
    <w:p w14:paraId="6660DBE3" w14:textId="77777777" w:rsidR="00746BD1" w:rsidRPr="00830E36" w:rsidRDefault="00B577DB">
      <w:pPr>
        <w:pStyle w:val="ListParagraph"/>
        <w:numPr>
          <w:ilvl w:val="0"/>
          <w:numId w:val="3"/>
        </w:numPr>
        <w:rPr>
          <w:lang w:val="fr-FR"/>
        </w:rPr>
      </w:pPr>
      <w:r w:rsidRPr="00830E36">
        <w:rPr>
          <w:lang w:val="fr-FR"/>
        </w:rPr>
        <w:t>exiger, recueillir et partager de façon exhaustive des données et des renseignements complets et exacts ;</w:t>
      </w:r>
    </w:p>
    <w:p w14:paraId="2CE07373" w14:textId="130B9792" w:rsidR="00746BD1" w:rsidRPr="00830E36" w:rsidRDefault="00B577DB">
      <w:pPr>
        <w:pStyle w:val="ListParagraph"/>
        <w:numPr>
          <w:ilvl w:val="0"/>
          <w:numId w:val="3"/>
        </w:numPr>
        <w:rPr>
          <w:lang w:val="fr-FR"/>
        </w:rPr>
      </w:pPr>
      <w:r w:rsidRPr="00830E36">
        <w:rPr>
          <w:lang w:val="fr-FR"/>
        </w:rPr>
        <w:t>mettre en œuvre les exigences relatives à la sécurité, à l</w:t>
      </w:r>
      <w:r w:rsidR="00E963E5">
        <w:rPr>
          <w:lang w:val="fr-FR"/>
        </w:rPr>
        <w:t>’</w:t>
      </w:r>
      <w:r w:rsidRPr="00830E36">
        <w:rPr>
          <w:lang w:val="fr-FR"/>
        </w:rPr>
        <w:t>accès à l</w:t>
      </w:r>
      <w:r w:rsidR="00E963E5">
        <w:rPr>
          <w:lang w:val="fr-FR"/>
        </w:rPr>
        <w:t>’</w:t>
      </w:r>
      <w:r w:rsidRPr="00830E36">
        <w:rPr>
          <w:lang w:val="fr-FR"/>
        </w:rPr>
        <w:t>information et à la confidentialité conformément aux normes les plus élevées possibles ;</w:t>
      </w:r>
    </w:p>
    <w:p w14:paraId="39B9D067" w14:textId="77777777" w:rsidR="00746BD1" w:rsidRPr="00830E36" w:rsidRDefault="00B577DB">
      <w:pPr>
        <w:pStyle w:val="ListParagraph"/>
        <w:numPr>
          <w:ilvl w:val="0"/>
          <w:numId w:val="3"/>
        </w:numPr>
        <w:rPr>
          <w:lang w:val="fr-FR"/>
        </w:rPr>
      </w:pPr>
      <w:r w:rsidRPr="00830E36">
        <w:rPr>
          <w:lang w:val="fr-FR"/>
        </w:rPr>
        <w:t>mettre à disposition des capacités humaines, institutionnelles et technologiques suffisantes pour la mise en œuvre.</w:t>
      </w:r>
    </w:p>
    <w:p w14:paraId="46293A70" w14:textId="36B3BA12" w:rsidR="00746BD1" w:rsidRPr="00830E36" w:rsidRDefault="00746BD1">
      <w:pPr>
        <w:rPr>
          <w:lang w:val="fr-FR"/>
        </w:rPr>
      </w:pPr>
    </w:p>
    <w:p w14:paraId="504C88F6" w14:textId="5067B3A9" w:rsidR="00746BD1" w:rsidRPr="00830E36" w:rsidRDefault="00B577DB">
      <w:pPr>
        <w:pStyle w:val="P68B1DB1-Normal1"/>
        <w:jc w:val="center"/>
        <w:rPr>
          <w:lang w:val="fr-FR"/>
        </w:rPr>
      </w:pPr>
      <w:r w:rsidRPr="00830E36">
        <w:rPr>
          <w:lang w:val="fr-FR"/>
        </w:rPr>
        <w:t>Article 6</w:t>
      </w:r>
    </w:p>
    <w:p w14:paraId="232F2B59" w14:textId="50E758AA" w:rsidR="00746BD1" w:rsidRPr="00830E36" w:rsidRDefault="00B577DB">
      <w:pPr>
        <w:pStyle w:val="P68B1DB1-Normal1"/>
        <w:jc w:val="center"/>
        <w:rPr>
          <w:lang w:val="fr-FR"/>
        </w:rPr>
      </w:pPr>
      <w:r w:rsidRPr="00830E36">
        <w:rPr>
          <w:lang w:val="fr-FR"/>
        </w:rPr>
        <w:t>Responsabilités des parties</w:t>
      </w:r>
    </w:p>
    <w:p w14:paraId="564144C8" w14:textId="20F88107" w:rsidR="00746BD1" w:rsidRPr="00830E36" w:rsidRDefault="00746BD1">
      <w:pPr>
        <w:rPr>
          <w:b/>
          <w:lang w:val="fr-FR"/>
        </w:rPr>
      </w:pPr>
    </w:p>
    <w:p w14:paraId="787AB13F" w14:textId="4198931F" w:rsidR="00746BD1" w:rsidRPr="00830E36" w:rsidRDefault="00B577DB">
      <w:pPr>
        <w:rPr>
          <w:lang w:val="fr-FR"/>
        </w:rPr>
      </w:pPr>
      <w:r w:rsidRPr="00830E36">
        <w:rPr>
          <w:lang w:val="fr-FR"/>
        </w:rPr>
        <w:lastRenderedPageBreak/>
        <w:t>Il définit l</w:t>
      </w:r>
      <w:r w:rsidR="00E963E5">
        <w:rPr>
          <w:lang w:val="fr-FR"/>
        </w:rPr>
        <w:t>’</w:t>
      </w:r>
      <w:r w:rsidRPr="00830E36">
        <w:rPr>
          <w:lang w:val="fr-FR"/>
        </w:rPr>
        <w:t>ensemble de responsabilités des Parties, telles que l</w:t>
      </w:r>
      <w:r w:rsidR="00E963E5">
        <w:rPr>
          <w:lang w:val="fr-FR"/>
        </w:rPr>
        <w:t>’</w:t>
      </w:r>
      <w:r w:rsidRPr="00830E36">
        <w:rPr>
          <w:lang w:val="fr-FR"/>
        </w:rPr>
        <w:t>utilisation de mécanismes d</w:t>
      </w:r>
      <w:r w:rsidR="00E963E5">
        <w:rPr>
          <w:lang w:val="fr-FR"/>
        </w:rPr>
        <w:t>’</w:t>
      </w:r>
      <w:r w:rsidRPr="00830E36">
        <w:rPr>
          <w:lang w:val="fr-FR"/>
        </w:rPr>
        <w:t>échange d</w:t>
      </w:r>
      <w:r w:rsidR="00E963E5">
        <w:rPr>
          <w:lang w:val="fr-FR"/>
        </w:rPr>
        <w:t>’</w:t>
      </w:r>
      <w:r w:rsidRPr="00830E36">
        <w:rPr>
          <w:lang w:val="fr-FR"/>
        </w:rPr>
        <w:t>informations, la législation nationale, les capacités, les données confidentielles, la maintenance des structures et installations nationales, l</w:t>
      </w:r>
      <w:r w:rsidR="00E963E5">
        <w:rPr>
          <w:lang w:val="fr-FR"/>
        </w:rPr>
        <w:t>’</w:t>
      </w:r>
      <w:r w:rsidRPr="00830E36">
        <w:rPr>
          <w:lang w:val="fr-FR"/>
        </w:rPr>
        <w:t>administration et autres.</w:t>
      </w:r>
    </w:p>
    <w:p w14:paraId="0118C457" w14:textId="77777777" w:rsidR="00746BD1" w:rsidRPr="00830E36" w:rsidRDefault="00746BD1">
      <w:pPr>
        <w:rPr>
          <w:lang w:val="fr-FR"/>
        </w:rPr>
      </w:pPr>
    </w:p>
    <w:p w14:paraId="2A162BCA" w14:textId="26189D10" w:rsidR="00746BD1" w:rsidRPr="00830E36" w:rsidRDefault="00B577DB">
      <w:pPr>
        <w:rPr>
          <w:lang w:val="fr-FR"/>
        </w:rPr>
      </w:pPr>
      <w:r w:rsidRPr="00830E36">
        <w:rPr>
          <w:lang w:val="fr-FR"/>
        </w:rPr>
        <w:t>A noter que :</w:t>
      </w:r>
    </w:p>
    <w:p w14:paraId="277DBA37" w14:textId="71797A94" w:rsidR="00746BD1" w:rsidRPr="00830E36" w:rsidRDefault="00B577DB">
      <w:pPr>
        <w:pStyle w:val="ListParagraph"/>
        <w:numPr>
          <w:ilvl w:val="0"/>
          <w:numId w:val="4"/>
        </w:numPr>
        <w:rPr>
          <w:lang w:val="fr-FR"/>
        </w:rPr>
      </w:pPr>
      <w:r w:rsidRPr="00830E36">
        <w:rPr>
          <w:lang w:val="fr-FR"/>
        </w:rPr>
        <w:t xml:space="preserve">la définition de l </w:t>
      </w:r>
      <w:r w:rsidR="00E963E5">
        <w:rPr>
          <w:lang w:val="fr-FR"/>
        </w:rPr>
        <w:t>‘</w:t>
      </w:r>
      <w:r w:rsidRPr="00830E36">
        <w:rPr>
          <w:lang w:val="fr-FR"/>
        </w:rPr>
        <w:t>«échange» d</w:t>
      </w:r>
      <w:r w:rsidR="00E963E5">
        <w:rPr>
          <w:lang w:val="fr-FR"/>
        </w:rPr>
        <w:t>’</w:t>
      </w:r>
      <w:r w:rsidRPr="00830E36">
        <w:rPr>
          <w:lang w:val="fr-FR"/>
        </w:rPr>
        <w:t>informations sur la pêche au sens de l</w:t>
      </w:r>
      <w:r w:rsidR="00E963E5">
        <w:rPr>
          <w:lang w:val="fr-FR"/>
        </w:rPr>
        <w:t>’</w:t>
      </w:r>
      <w:r w:rsidRPr="00830E36">
        <w:rPr>
          <w:lang w:val="fr-FR"/>
        </w:rPr>
        <w:t>article 1 comprend le « partage»;</w:t>
      </w:r>
    </w:p>
    <w:p w14:paraId="623372F0" w14:textId="771F3D84" w:rsidR="00746BD1" w:rsidRPr="00830E36" w:rsidRDefault="00B577DB">
      <w:pPr>
        <w:pStyle w:val="ListParagraph"/>
        <w:numPr>
          <w:ilvl w:val="0"/>
          <w:numId w:val="4"/>
        </w:numPr>
        <w:rPr>
          <w:lang w:val="fr-FR"/>
        </w:rPr>
      </w:pPr>
      <w:r w:rsidRPr="00830E36">
        <w:rPr>
          <w:lang w:val="fr-FR"/>
        </w:rPr>
        <w:t>les paragraphes 5 et 6 ne peuvent pas être étendus à la COI parce qu</w:t>
      </w:r>
      <w:r w:rsidR="00E963E5">
        <w:rPr>
          <w:lang w:val="fr-FR"/>
        </w:rPr>
        <w:t>’</w:t>
      </w:r>
      <w:r w:rsidRPr="00830E36">
        <w:rPr>
          <w:lang w:val="fr-FR"/>
        </w:rPr>
        <w:t>elle n</w:t>
      </w:r>
      <w:r w:rsidR="00E963E5">
        <w:rPr>
          <w:lang w:val="fr-FR"/>
        </w:rPr>
        <w:t>’</w:t>
      </w:r>
      <w:r w:rsidRPr="00830E36">
        <w:rPr>
          <w:lang w:val="fr-FR"/>
        </w:rPr>
        <w:t>est pas partie à l</w:t>
      </w:r>
      <w:r w:rsidR="00E963E5">
        <w:rPr>
          <w:lang w:val="fr-FR"/>
        </w:rPr>
        <w:t>’</w:t>
      </w:r>
      <w:r w:rsidRPr="00830E36">
        <w:rPr>
          <w:lang w:val="fr-FR"/>
        </w:rPr>
        <w:t>Accord.</w:t>
      </w:r>
    </w:p>
    <w:p w14:paraId="570E7F38" w14:textId="77777777" w:rsidR="00746BD1" w:rsidRPr="00830E36" w:rsidRDefault="00746BD1">
      <w:pPr>
        <w:rPr>
          <w:lang w:val="fr-FR"/>
        </w:rPr>
      </w:pPr>
    </w:p>
    <w:p w14:paraId="5F34DEFA" w14:textId="07057451" w:rsidR="00746BD1" w:rsidRPr="00830E36" w:rsidRDefault="00B577DB">
      <w:pPr>
        <w:rPr>
          <w:lang w:val="fr-FR"/>
        </w:rPr>
      </w:pPr>
      <w:r w:rsidRPr="00830E36">
        <w:rPr>
          <w:b/>
          <w:i/>
          <w:lang w:val="fr-FR"/>
        </w:rPr>
        <w:t>A</w:t>
      </w:r>
      <w:r w:rsidR="00830E36">
        <w:rPr>
          <w:b/>
          <w:i/>
          <w:lang w:val="fr-FR"/>
        </w:rPr>
        <w:t xml:space="preserve"> examiner : </w:t>
      </w:r>
    </w:p>
    <w:p w14:paraId="61DD3EB9" w14:textId="77777777" w:rsidR="00746BD1" w:rsidRPr="00830E36" w:rsidRDefault="00746BD1">
      <w:pPr>
        <w:rPr>
          <w:lang w:val="fr-FR"/>
        </w:rPr>
      </w:pPr>
    </w:p>
    <w:p w14:paraId="4676D1A9" w14:textId="6838004F" w:rsidR="00746BD1" w:rsidRPr="00830E36" w:rsidRDefault="00B577DB">
      <w:pPr>
        <w:rPr>
          <w:lang w:val="fr-FR"/>
        </w:rPr>
      </w:pPr>
      <w:r w:rsidRPr="00830E36">
        <w:rPr>
          <w:lang w:val="fr-FR"/>
        </w:rPr>
        <w:t>Le Président a recommandé que les Seychelles et la Tanzanie souhaitent peut-être ajouter une nouvelle formulation pour le paragraphe 3, qui exige que la législation nationale n</w:t>
      </w:r>
      <w:r w:rsidR="00E963E5">
        <w:rPr>
          <w:lang w:val="fr-FR"/>
        </w:rPr>
        <w:t>’</w:t>
      </w:r>
      <w:r w:rsidRPr="00830E36">
        <w:rPr>
          <w:lang w:val="fr-FR"/>
        </w:rPr>
        <w:t>entrave pas l</w:t>
      </w:r>
      <w:r w:rsidR="00E963E5">
        <w:rPr>
          <w:lang w:val="fr-FR"/>
        </w:rPr>
        <w:t>’</w:t>
      </w:r>
      <w:r w:rsidRPr="00830E36">
        <w:rPr>
          <w:lang w:val="fr-FR"/>
        </w:rPr>
        <w:t>échange d</w:t>
      </w:r>
      <w:r w:rsidR="00E963E5">
        <w:rPr>
          <w:lang w:val="fr-FR"/>
        </w:rPr>
        <w:t>’</w:t>
      </w:r>
      <w:r w:rsidRPr="00830E36">
        <w:rPr>
          <w:lang w:val="fr-FR"/>
        </w:rPr>
        <w:t>informations.</w:t>
      </w:r>
    </w:p>
    <w:p w14:paraId="5150383E" w14:textId="77777777" w:rsidR="00746BD1" w:rsidRPr="00830E36" w:rsidRDefault="00746BD1">
      <w:pPr>
        <w:rPr>
          <w:lang w:val="fr-FR"/>
        </w:rPr>
      </w:pPr>
    </w:p>
    <w:p w14:paraId="44C53D7E" w14:textId="6E165753" w:rsidR="00746BD1" w:rsidRPr="00830E36" w:rsidRDefault="00B577DB">
      <w:pPr>
        <w:pStyle w:val="P68B1DB1-Normal1"/>
        <w:jc w:val="center"/>
        <w:rPr>
          <w:lang w:val="fr-FR"/>
        </w:rPr>
      </w:pPr>
      <w:r w:rsidRPr="00830E36">
        <w:rPr>
          <w:lang w:val="fr-FR"/>
        </w:rPr>
        <w:t>Article</w:t>
      </w:r>
      <w:r w:rsidR="00876B25">
        <w:rPr>
          <w:lang w:val="fr-FR"/>
        </w:rPr>
        <w:t xml:space="preserve"> </w:t>
      </w:r>
      <w:r w:rsidRPr="00830E36">
        <w:rPr>
          <w:lang w:val="fr-FR"/>
        </w:rPr>
        <w:t>7</w:t>
      </w:r>
    </w:p>
    <w:p w14:paraId="5DD4E79C" w14:textId="4EA0B136" w:rsidR="00746BD1" w:rsidRPr="00830E36" w:rsidRDefault="00B577DB">
      <w:pPr>
        <w:pStyle w:val="P68B1DB1-Normal1"/>
        <w:jc w:val="center"/>
        <w:rPr>
          <w:lang w:val="fr-FR"/>
        </w:rPr>
      </w:pPr>
      <w:r w:rsidRPr="00830E36">
        <w:rPr>
          <w:lang w:val="fr-FR"/>
        </w:rPr>
        <w:t>Échange d</w:t>
      </w:r>
      <w:r w:rsidR="00E963E5">
        <w:rPr>
          <w:lang w:val="fr-FR"/>
        </w:rPr>
        <w:t>’</w:t>
      </w:r>
      <w:r w:rsidRPr="00830E36">
        <w:rPr>
          <w:lang w:val="fr-FR"/>
        </w:rPr>
        <w:t>informations sur la pêche</w:t>
      </w:r>
    </w:p>
    <w:p w14:paraId="541C65B7" w14:textId="77777777" w:rsidR="00746BD1" w:rsidRPr="00830E36" w:rsidRDefault="00746BD1">
      <w:pPr>
        <w:rPr>
          <w:lang w:val="fr-FR"/>
        </w:rPr>
      </w:pPr>
    </w:p>
    <w:p w14:paraId="24233019" w14:textId="7B52206E" w:rsidR="00746BD1" w:rsidRPr="00830E36" w:rsidRDefault="00B577DB">
      <w:pPr>
        <w:rPr>
          <w:lang w:val="fr-FR"/>
        </w:rPr>
      </w:pPr>
      <w:r w:rsidRPr="00830E36">
        <w:rPr>
          <w:lang w:val="fr-FR"/>
        </w:rPr>
        <w:t>Les parties et les partenaires doivent recueillir et échanger les informations relatives à la pêche requises à l</w:t>
      </w:r>
      <w:r w:rsidR="00E963E5">
        <w:rPr>
          <w:lang w:val="fr-FR"/>
        </w:rPr>
        <w:t>’</w:t>
      </w:r>
      <w:r w:rsidRPr="00830E36">
        <w:rPr>
          <w:lang w:val="fr-FR"/>
        </w:rPr>
        <w:t xml:space="preserve">Annexe II, conformément à leur législation nationale applicable. </w:t>
      </w:r>
    </w:p>
    <w:p w14:paraId="0518A8F6" w14:textId="77777777" w:rsidR="00746BD1" w:rsidRPr="00830E36" w:rsidRDefault="00746BD1">
      <w:pPr>
        <w:rPr>
          <w:lang w:val="fr-FR"/>
        </w:rPr>
      </w:pPr>
    </w:p>
    <w:p w14:paraId="42EFD879" w14:textId="77777777" w:rsidR="00746BD1" w:rsidRPr="00830E36" w:rsidRDefault="00746BD1">
      <w:pPr>
        <w:rPr>
          <w:lang w:val="fr-FR"/>
        </w:rPr>
      </w:pPr>
    </w:p>
    <w:p w14:paraId="1AB3ED28" w14:textId="37C8AE65" w:rsidR="00746BD1" w:rsidRPr="00830E36" w:rsidRDefault="00B577DB">
      <w:pPr>
        <w:pStyle w:val="P68B1DB1-Normal1"/>
        <w:rPr>
          <w:lang w:val="fr-FR"/>
        </w:rPr>
      </w:pPr>
      <w:r w:rsidRPr="00830E36">
        <w:rPr>
          <w:i/>
          <w:lang w:val="fr-FR"/>
        </w:rPr>
        <w:t>A</w:t>
      </w:r>
      <w:r w:rsidR="00830E36">
        <w:rPr>
          <w:i/>
          <w:lang w:val="fr-FR"/>
        </w:rPr>
        <w:t xml:space="preserve"> examiner :</w:t>
      </w:r>
    </w:p>
    <w:p w14:paraId="59D0C6F6" w14:textId="77777777" w:rsidR="00746BD1" w:rsidRPr="00830E36" w:rsidRDefault="00746BD1">
      <w:pPr>
        <w:rPr>
          <w:b/>
          <w:lang w:val="fr-FR"/>
        </w:rPr>
      </w:pPr>
    </w:p>
    <w:p w14:paraId="0DDC1A00" w14:textId="01DAFC96" w:rsidR="00746BD1" w:rsidRPr="00830E36" w:rsidRDefault="00B577DB">
      <w:pPr>
        <w:rPr>
          <w:lang w:val="fr-FR"/>
        </w:rPr>
      </w:pPr>
      <w:r w:rsidRPr="00830E36">
        <w:rPr>
          <w:lang w:val="fr-FR"/>
        </w:rPr>
        <w:t>Annexe II</w:t>
      </w:r>
    </w:p>
    <w:p w14:paraId="294A54AB" w14:textId="77777777" w:rsidR="00746BD1" w:rsidRPr="00830E36" w:rsidRDefault="00B577DB">
      <w:pPr>
        <w:pStyle w:val="P68B1DB1-Normal1"/>
        <w:jc w:val="center"/>
        <w:rPr>
          <w:lang w:val="fr-FR"/>
        </w:rPr>
      </w:pPr>
      <w:r w:rsidRPr="00830E36">
        <w:rPr>
          <w:lang w:val="fr-FR"/>
        </w:rPr>
        <w:t>Article 8</w:t>
      </w:r>
    </w:p>
    <w:p w14:paraId="239EE72F" w14:textId="7FBC37D7" w:rsidR="00746BD1" w:rsidRPr="00830E36" w:rsidRDefault="00B577DB">
      <w:pPr>
        <w:pStyle w:val="P68B1DB1-Normal1"/>
        <w:jc w:val="center"/>
        <w:rPr>
          <w:lang w:val="fr-FR"/>
        </w:rPr>
      </w:pPr>
      <w:r w:rsidRPr="00830E36">
        <w:rPr>
          <w:lang w:val="fr-FR"/>
        </w:rPr>
        <w:t>Emplacement du serveur régional et sécurité des données</w:t>
      </w:r>
    </w:p>
    <w:p w14:paraId="64F23CA1" w14:textId="77777777" w:rsidR="00746BD1" w:rsidRPr="00830E36" w:rsidRDefault="00746BD1">
      <w:pPr>
        <w:jc w:val="center"/>
        <w:rPr>
          <w:lang w:val="fr-FR"/>
        </w:rPr>
      </w:pPr>
    </w:p>
    <w:p w14:paraId="38EF53D8" w14:textId="33929766" w:rsidR="00746BD1" w:rsidRPr="00830E36" w:rsidRDefault="00B577DB">
      <w:pPr>
        <w:rPr>
          <w:lang w:val="fr-FR"/>
        </w:rPr>
      </w:pPr>
      <w:r w:rsidRPr="00830E36">
        <w:rPr>
          <w:lang w:val="fr-FR"/>
        </w:rPr>
        <w:t>Le serveur régional et toute l</w:t>
      </w:r>
      <w:r w:rsidR="00E963E5">
        <w:rPr>
          <w:lang w:val="fr-FR"/>
        </w:rPr>
        <w:t>’</w:t>
      </w:r>
      <w:r w:rsidRPr="00830E36">
        <w:rPr>
          <w:lang w:val="fr-FR"/>
        </w:rPr>
        <w:t>infrastructure associée aux systèmes de partage de l</w:t>
      </w:r>
      <w:r w:rsidR="00E963E5">
        <w:rPr>
          <w:lang w:val="fr-FR"/>
        </w:rPr>
        <w:t>’</w:t>
      </w:r>
      <w:r w:rsidRPr="00830E36">
        <w:rPr>
          <w:lang w:val="fr-FR"/>
        </w:rPr>
        <w:t xml:space="preserve">information seront situés au siège de la COI, </w:t>
      </w:r>
    </w:p>
    <w:p w14:paraId="5070580A" w14:textId="77777777" w:rsidR="00746BD1" w:rsidRPr="00830E36" w:rsidRDefault="00746BD1">
      <w:pPr>
        <w:rPr>
          <w:lang w:val="fr-FR"/>
        </w:rPr>
      </w:pPr>
    </w:p>
    <w:p w14:paraId="6FEC82F7" w14:textId="249902AA" w:rsidR="00746BD1" w:rsidRPr="00830E36" w:rsidRDefault="00B577DB">
      <w:pPr>
        <w:rPr>
          <w:lang w:val="fr-FR"/>
        </w:rPr>
      </w:pPr>
      <w:r w:rsidRPr="00830E36">
        <w:rPr>
          <w:lang w:val="fr-FR"/>
        </w:rPr>
        <w:t>Des exigences garantissant la sécurité des données sont spécifiées.</w:t>
      </w:r>
    </w:p>
    <w:p w14:paraId="600FF2E2" w14:textId="77777777" w:rsidR="00746BD1" w:rsidRPr="00830E36" w:rsidRDefault="00746BD1">
      <w:pPr>
        <w:rPr>
          <w:lang w:val="fr-FR"/>
        </w:rPr>
      </w:pPr>
    </w:p>
    <w:p w14:paraId="7602146E" w14:textId="609275E8" w:rsidR="00746BD1" w:rsidRPr="00830E36" w:rsidRDefault="00B577DB">
      <w:pPr>
        <w:rPr>
          <w:lang w:val="fr-FR"/>
        </w:rPr>
      </w:pPr>
      <w:r w:rsidRPr="00830E36">
        <w:rPr>
          <w:b/>
          <w:i/>
          <w:lang w:val="fr-FR"/>
        </w:rPr>
        <w:t>A</w:t>
      </w:r>
      <w:r w:rsidR="00830E36">
        <w:rPr>
          <w:b/>
          <w:i/>
          <w:lang w:val="fr-FR"/>
        </w:rPr>
        <w:t xml:space="preserve"> examiner : </w:t>
      </w:r>
    </w:p>
    <w:p w14:paraId="70FBA3FC" w14:textId="77777777" w:rsidR="00746BD1" w:rsidRPr="00830E36" w:rsidRDefault="00746BD1">
      <w:pPr>
        <w:rPr>
          <w:lang w:val="fr-FR"/>
        </w:rPr>
      </w:pPr>
    </w:p>
    <w:p w14:paraId="51C34137" w14:textId="599488C1" w:rsidR="00746BD1" w:rsidRPr="00830E36" w:rsidRDefault="00B577DB">
      <w:pPr>
        <w:rPr>
          <w:lang w:val="fr-FR"/>
        </w:rPr>
      </w:pPr>
      <w:r w:rsidRPr="00830E36">
        <w:rPr>
          <w:lang w:val="fr-FR"/>
        </w:rPr>
        <w:t>Il a été suggéré pour l</w:t>
      </w:r>
      <w:r w:rsidR="00E963E5">
        <w:rPr>
          <w:lang w:val="fr-FR"/>
        </w:rPr>
        <w:t>’</w:t>
      </w:r>
      <w:r w:rsidRPr="00830E36">
        <w:rPr>
          <w:lang w:val="fr-FR"/>
        </w:rPr>
        <w:t>alinéa b) du paragraphe 2 (ci-dessous) que « le FTPS pourrait être une option pour certains types d</w:t>
      </w:r>
      <w:r w:rsidR="00E963E5">
        <w:rPr>
          <w:lang w:val="fr-FR"/>
        </w:rPr>
        <w:t>’</w:t>
      </w:r>
      <w:r w:rsidRPr="00830E36">
        <w:rPr>
          <w:lang w:val="fr-FR"/>
        </w:rPr>
        <w:t>informations, soit en utilisant des ter</w:t>
      </w:r>
      <w:r w:rsidR="003707F5">
        <w:rPr>
          <w:lang w:val="fr-FR"/>
        </w:rPr>
        <w:t>me</w:t>
      </w:r>
      <w:r w:rsidRPr="00830E36">
        <w:rPr>
          <w:lang w:val="fr-FR"/>
        </w:rPr>
        <w:t>s génériques de protocole d</w:t>
      </w:r>
      <w:r w:rsidR="00E963E5">
        <w:rPr>
          <w:lang w:val="fr-FR"/>
        </w:rPr>
        <w:t>’</w:t>
      </w:r>
      <w:r w:rsidRPr="00830E36">
        <w:rPr>
          <w:lang w:val="fr-FR"/>
        </w:rPr>
        <w:t>échange d</w:t>
      </w:r>
      <w:r w:rsidR="00E963E5">
        <w:rPr>
          <w:lang w:val="fr-FR"/>
        </w:rPr>
        <w:t>’</w:t>
      </w:r>
      <w:r w:rsidRPr="00830E36">
        <w:rPr>
          <w:lang w:val="fr-FR"/>
        </w:rPr>
        <w:t>informations sécurisé, soit en dressant une liste exhaustive des protocoles d</w:t>
      </w:r>
      <w:r w:rsidR="00E963E5">
        <w:rPr>
          <w:lang w:val="fr-FR"/>
        </w:rPr>
        <w:t>’</w:t>
      </w:r>
      <w:r w:rsidRPr="00830E36">
        <w:rPr>
          <w:lang w:val="fr-FR"/>
        </w:rPr>
        <w:t xml:space="preserve">échange possibles. La sécurité des données peut être détaillée dans une annexe. » </w:t>
      </w:r>
    </w:p>
    <w:p w14:paraId="6B906DB3" w14:textId="10843395" w:rsidR="00746BD1" w:rsidRPr="00830E36" w:rsidRDefault="00B577DB">
      <w:pPr>
        <w:ind w:left="720"/>
        <w:rPr>
          <w:lang w:val="fr-FR"/>
        </w:rPr>
      </w:pPr>
      <w:r w:rsidRPr="00830E36">
        <w:rPr>
          <w:lang w:val="fr-FR"/>
        </w:rPr>
        <w:t xml:space="preserve"> </w:t>
      </w:r>
    </w:p>
    <w:p w14:paraId="00EE57EB" w14:textId="4EB75153" w:rsidR="00746BD1" w:rsidRPr="00830E36" w:rsidRDefault="00B577DB">
      <w:pPr>
        <w:ind w:left="720"/>
        <w:rPr>
          <w:lang w:val="fr-FR"/>
        </w:rPr>
      </w:pPr>
      <w:r w:rsidRPr="00830E36">
        <w:rPr>
          <w:lang w:val="fr-FR"/>
        </w:rPr>
        <w:t>2.</w:t>
      </w:r>
      <w:r w:rsidR="00830E36">
        <w:rPr>
          <w:lang w:val="fr-FR"/>
        </w:rPr>
        <w:t xml:space="preserve"> </w:t>
      </w:r>
      <w:r w:rsidRPr="00830E36">
        <w:rPr>
          <w:lang w:val="fr-FR"/>
        </w:rPr>
        <w:t>La sécurité des données est assurée par :</w:t>
      </w:r>
    </w:p>
    <w:p w14:paraId="52AF9582" w14:textId="77777777" w:rsidR="00746BD1" w:rsidRPr="00830E36" w:rsidRDefault="00746BD1">
      <w:pPr>
        <w:ind w:left="1080"/>
        <w:rPr>
          <w:lang w:val="fr-FR"/>
        </w:rPr>
      </w:pPr>
    </w:p>
    <w:p w14:paraId="78D957DD" w14:textId="71F5A812" w:rsidR="00746BD1" w:rsidRPr="00830E36" w:rsidRDefault="00E50F0C">
      <w:pPr>
        <w:numPr>
          <w:ilvl w:val="0"/>
          <w:numId w:val="5"/>
        </w:numPr>
        <w:ind w:left="1440"/>
        <w:rPr>
          <w:lang w:val="fr-FR"/>
        </w:rPr>
      </w:pPr>
      <w:r>
        <w:rPr>
          <w:lang w:val="fr-FR"/>
        </w:rPr>
        <w:t>« </w:t>
      </w:r>
      <w:r w:rsidR="00B577DB" w:rsidRPr="00830E36">
        <w:rPr>
          <w:lang w:val="fr-FR"/>
        </w:rPr>
        <w:t>Le protocole HTTPS et le partage de données, qui permettront un emplacement permanent sécurisé entre un client et un serveur, garantiront l</w:t>
      </w:r>
      <w:r w:rsidR="00E963E5">
        <w:rPr>
          <w:lang w:val="fr-FR"/>
        </w:rPr>
        <w:t>’</w:t>
      </w:r>
      <w:r w:rsidR="00B577DB" w:rsidRPr="00830E36">
        <w:rPr>
          <w:lang w:val="fr-FR"/>
        </w:rPr>
        <w:t xml:space="preserve">identité du serveur qui prend en charge le cryptage des informations en transit, seront presque synchrones et ne nécessiteront pas de </w:t>
      </w:r>
      <w:r>
        <w:rPr>
          <w:lang w:val="fr-FR"/>
        </w:rPr>
        <w:t>matériel supplémentaire ; »</w:t>
      </w:r>
    </w:p>
    <w:p w14:paraId="77A2684C" w14:textId="77777777" w:rsidR="00746BD1" w:rsidRPr="00830E36" w:rsidRDefault="00746BD1">
      <w:pPr>
        <w:rPr>
          <w:lang w:val="fr-FR"/>
        </w:rPr>
      </w:pPr>
    </w:p>
    <w:p w14:paraId="00810B3E" w14:textId="6CEB2556" w:rsidR="00746BD1" w:rsidRPr="00830E36" w:rsidRDefault="00B577DB">
      <w:pPr>
        <w:rPr>
          <w:lang w:val="fr-FR"/>
        </w:rPr>
      </w:pPr>
      <w:r w:rsidRPr="00830E36">
        <w:rPr>
          <w:lang w:val="fr-FR"/>
        </w:rPr>
        <w:t>Un examen technique est nécessaire et une formulation claire doit être dressée pour l</w:t>
      </w:r>
      <w:r w:rsidR="00E963E5">
        <w:rPr>
          <w:lang w:val="fr-FR"/>
        </w:rPr>
        <w:t>’</w:t>
      </w:r>
      <w:r w:rsidRPr="00830E36">
        <w:rPr>
          <w:lang w:val="fr-FR"/>
        </w:rPr>
        <w:t xml:space="preserve">Accord. </w:t>
      </w:r>
    </w:p>
    <w:p w14:paraId="60894910" w14:textId="77777777" w:rsidR="00746BD1" w:rsidRPr="00830E36" w:rsidRDefault="00746BD1">
      <w:pPr>
        <w:rPr>
          <w:lang w:val="fr-FR"/>
        </w:rPr>
      </w:pPr>
    </w:p>
    <w:p w14:paraId="754EF9A3" w14:textId="77777777" w:rsidR="00746BD1" w:rsidRPr="00830E36" w:rsidRDefault="00B577DB">
      <w:pPr>
        <w:pStyle w:val="P68B1DB1-Normal1"/>
        <w:jc w:val="center"/>
        <w:rPr>
          <w:lang w:val="fr-FR"/>
        </w:rPr>
      </w:pPr>
      <w:r w:rsidRPr="00830E36">
        <w:rPr>
          <w:lang w:val="fr-FR"/>
        </w:rPr>
        <w:t>Article 9</w:t>
      </w:r>
    </w:p>
    <w:p w14:paraId="71CBE377" w14:textId="77777777" w:rsidR="00746BD1" w:rsidRPr="00830E36" w:rsidRDefault="00B577DB">
      <w:pPr>
        <w:pStyle w:val="P68B1DB1-Normal1"/>
        <w:jc w:val="center"/>
        <w:rPr>
          <w:lang w:val="fr-FR"/>
        </w:rPr>
      </w:pPr>
      <w:r w:rsidRPr="00830E36">
        <w:rPr>
          <w:lang w:val="fr-FR"/>
        </w:rPr>
        <w:lastRenderedPageBreak/>
        <w:t>Accès aux informations sur la pêche</w:t>
      </w:r>
    </w:p>
    <w:p w14:paraId="528C029E" w14:textId="10C19BFB" w:rsidR="00746BD1" w:rsidRPr="00830E36" w:rsidRDefault="00B577DB">
      <w:pPr>
        <w:rPr>
          <w:lang w:val="fr-FR"/>
        </w:rPr>
      </w:pPr>
      <w:r w:rsidRPr="00830E36">
        <w:rPr>
          <w:lang w:val="fr-FR"/>
        </w:rPr>
        <w:t xml:space="preserve"> </w:t>
      </w:r>
    </w:p>
    <w:p w14:paraId="69CD5B77" w14:textId="7BC892FA" w:rsidR="00746BD1" w:rsidRPr="00830E36" w:rsidRDefault="00B577DB">
      <w:pPr>
        <w:rPr>
          <w:lang w:val="fr-FR"/>
        </w:rPr>
      </w:pPr>
      <w:r w:rsidRPr="00830E36">
        <w:rPr>
          <w:lang w:val="fr-FR"/>
        </w:rPr>
        <w:t>Plusieurs critères d</w:t>
      </w:r>
      <w:r w:rsidR="00E963E5">
        <w:rPr>
          <w:lang w:val="fr-FR"/>
        </w:rPr>
        <w:t>’</w:t>
      </w:r>
      <w:r w:rsidRPr="00830E36">
        <w:rPr>
          <w:lang w:val="fr-FR"/>
        </w:rPr>
        <w:t>accès à l</w:t>
      </w:r>
      <w:r w:rsidR="00E963E5">
        <w:rPr>
          <w:lang w:val="fr-FR"/>
        </w:rPr>
        <w:t>’</w:t>
      </w:r>
      <w:r w:rsidRPr="00830E36">
        <w:rPr>
          <w:lang w:val="fr-FR"/>
        </w:rPr>
        <w:t>information sur la pêche y sont fournis, notamment l</w:t>
      </w:r>
      <w:r w:rsidR="00E963E5">
        <w:rPr>
          <w:lang w:val="fr-FR"/>
        </w:rPr>
        <w:t>’</w:t>
      </w:r>
      <w:r w:rsidRPr="00830E36">
        <w:rPr>
          <w:lang w:val="fr-FR"/>
        </w:rPr>
        <w:t>accès aux données, à la base de données et au serveur, l</w:t>
      </w:r>
      <w:r w:rsidR="00E963E5">
        <w:rPr>
          <w:lang w:val="fr-FR"/>
        </w:rPr>
        <w:t>’</w:t>
      </w:r>
      <w:r w:rsidRPr="00830E36">
        <w:rPr>
          <w:lang w:val="fr-FR"/>
        </w:rPr>
        <w:t>hébergement du système, l</w:t>
      </w:r>
      <w:r w:rsidR="00E963E5">
        <w:rPr>
          <w:lang w:val="fr-FR"/>
        </w:rPr>
        <w:t>’</w:t>
      </w:r>
      <w:r w:rsidRPr="00830E36">
        <w:rPr>
          <w:lang w:val="fr-FR"/>
        </w:rPr>
        <w:t>identification des utilisateurs et leur accès et l</w:t>
      </w:r>
      <w:r w:rsidR="00E963E5">
        <w:rPr>
          <w:lang w:val="fr-FR"/>
        </w:rPr>
        <w:t>’</w:t>
      </w:r>
      <w:r w:rsidRPr="00830E36">
        <w:rPr>
          <w:lang w:val="fr-FR"/>
        </w:rPr>
        <w:t xml:space="preserve">accès par les administrateurs. </w:t>
      </w:r>
    </w:p>
    <w:p w14:paraId="719AC74A" w14:textId="59DC4769" w:rsidR="00746BD1" w:rsidRPr="00830E36" w:rsidRDefault="00746BD1">
      <w:pPr>
        <w:rPr>
          <w:lang w:val="fr-FR"/>
        </w:rPr>
      </w:pPr>
    </w:p>
    <w:p w14:paraId="72AC65C7" w14:textId="58503F52" w:rsidR="00746BD1" w:rsidRPr="00830E36" w:rsidRDefault="00B577DB">
      <w:pPr>
        <w:rPr>
          <w:lang w:val="fr-FR"/>
        </w:rPr>
      </w:pPr>
      <w:r w:rsidRPr="00830E36">
        <w:rPr>
          <w:b/>
          <w:i/>
          <w:lang w:val="fr-FR"/>
        </w:rPr>
        <w:t>A examiner</w:t>
      </w:r>
      <w:r w:rsidR="00830E36">
        <w:rPr>
          <w:b/>
          <w:i/>
          <w:lang w:val="fr-FR"/>
        </w:rPr>
        <w:t xml:space="preserve"> </w:t>
      </w:r>
      <w:r w:rsidRPr="00830E36">
        <w:rPr>
          <w:lang w:val="fr-FR"/>
        </w:rPr>
        <w:t>:</w:t>
      </w:r>
    </w:p>
    <w:p w14:paraId="608721C2" w14:textId="3B26FC7F" w:rsidR="00746BD1" w:rsidRPr="00830E36" w:rsidRDefault="00746BD1">
      <w:pPr>
        <w:rPr>
          <w:lang w:val="fr-FR"/>
        </w:rPr>
      </w:pPr>
    </w:p>
    <w:p w14:paraId="31C47C4D" w14:textId="4C90DAEE" w:rsidR="00746BD1" w:rsidRPr="00830E36" w:rsidRDefault="00B577DB">
      <w:pPr>
        <w:pStyle w:val="ListParagraph"/>
        <w:numPr>
          <w:ilvl w:val="0"/>
          <w:numId w:val="7"/>
        </w:numPr>
        <w:ind w:left="360"/>
        <w:rPr>
          <w:lang w:val="fr-FR"/>
        </w:rPr>
      </w:pPr>
      <w:r w:rsidRPr="00830E36">
        <w:rPr>
          <w:lang w:val="fr-FR"/>
        </w:rPr>
        <w:t>La liste est précédée de la mention « Les parties conviennent de ce qui suit ». Il est suggéré que le terme « Les Parties conviennent de ce qui suit » est superflu parce que le libellé est déjà obligatoire.</w:t>
      </w:r>
    </w:p>
    <w:p w14:paraId="211B3FB6" w14:textId="27790EF1" w:rsidR="00746BD1" w:rsidRPr="00830E36" w:rsidRDefault="00746BD1">
      <w:pPr>
        <w:rPr>
          <w:lang w:val="fr-FR"/>
        </w:rPr>
      </w:pPr>
    </w:p>
    <w:p w14:paraId="67567EF0" w14:textId="3351D41F" w:rsidR="00746BD1" w:rsidRPr="00830E36" w:rsidRDefault="00B577DB">
      <w:pPr>
        <w:pStyle w:val="ListParagraph"/>
        <w:numPr>
          <w:ilvl w:val="0"/>
          <w:numId w:val="7"/>
        </w:numPr>
        <w:ind w:left="360"/>
        <w:rPr>
          <w:i/>
          <w:lang w:val="fr-FR"/>
        </w:rPr>
      </w:pPr>
      <w:r w:rsidRPr="00830E36">
        <w:rPr>
          <w:lang w:val="fr-FR"/>
        </w:rPr>
        <w:t>Le critère du paragraphe (a)(iv) prévoit que l</w:t>
      </w:r>
      <w:r w:rsidR="00E963E5">
        <w:rPr>
          <w:lang w:val="fr-FR"/>
        </w:rPr>
        <w:t>’</w:t>
      </w:r>
      <w:r w:rsidRPr="00830E36">
        <w:rPr>
          <w:lang w:val="fr-FR"/>
        </w:rPr>
        <w:t>accès aux données échangées et leur utilisation se réfèrent strictement à l</w:t>
      </w:r>
      <w:r w:rsidR="00E963E5">
        <w:rPr>
          <w:lang w:val="fr-FR"/>
        </w:rPr>
        <w:t>’</w:t>
      </w:r>
      <w:r w:rsidRPr="00830E36">
        <w:rPr>
          <w:lang w:val="fr-FR"/>
        </w:rPr>
        <w:t xml:space="preserve">accès aux données partagées et que leur utilisation est strictement réservée au personnel autorisé de la qui détient le certificat de confidentialité signé correspondant. </w:t>
      </w:r>
      <w:r w:rsidRPr="00830E36">
        <w:rPr>
          <w:i/>
          <w:lang w:val="fr-FR"/>
        </w:rPr>
        <w:t>Un modèle existe uniquement pour les données VMS, mais il doit être mis à jour pour refléter toutes les autres informations</w:t>
      </w:r>
      <w:r w:rsidRPr="00830E36">
        <w:rPr>
          <w:lang w:val="fr-FR"/>
        </w:rPr>
        <w:t xml:space="preserve">. </w:t>
      </w:r>
      <w:r w:rsidRPr="00830E36">
        <w:rPr>
          <w:i/>
          <w:lang w:val="fr-FR"/>
        </w:rPr>
        <w:t>A considérer si un modèle de certificat de confidentialité devrait être annexé, si les parties devraient être habilitées à approuver un modèle plus tard ou autre.</w:t>
      </w:r>
    </w:p>
    <w:p w14:paraId="07F9ACA6" w14:textId="1060FEED" w:rsidR="00746BD1" w:rsidRPr="00830E36" w:rsidRDefault="00746BD1">
      <w:pPr>
        <w:rPr>
          <w:i/>
          <w:lang w:val="fr-FR"/>
        </w:rPr>
      </w:pPr>
    </w:p>
    <w:p w14:paraId="74207A6C" w14:textId="18ED3B31" w:rsidR="00746BD1" w:rsidRPr="00830E36" w:rsidRDefault="00B577DB">
      <w:pPr>
        <w:pStyle w:val="ListParagraph"/>
        <w:numPr>
          <w:ilvl w:val="0"/>
          <w:numId w:val="7"/>
        </w:numPr>
        <w:ind w:left="360"/>
        <w:rPr>
          <w:i/>
          <w:lang w:val="fr-FR"/>
        </w:rPr>
      </w:pPr>
      <w:r w:rsidRPr="00830E36">
        <w:rPr>
          <w:lang w:val="fr-FR"/>
        </w:rPr>
        <w:t>Le critère du paragraphe (c) prévoit que l</w:t>
      </w:r>
      <w:r w:rsidR="00E963E5">
        <w:rPr>
          <w:lang w:val="fr-FR"/>
        </w:rPr>
        <w:t>’</w:t>
      </w:r>
      <w:r w:rsidRPr="00830E36">
        <w:rPr>
          <w:lang w:val="fr-FR"/>
        </w:rPr>
        <w:t>accès au serveur, le nom d</w:t>
      </w:r>
      <w:r w:rsidR="00E963E5">
        <w:rPr>
          <w:lang w:val="fr-FR"/>
        </w:rPr>
        <w:t>’</w:t>
      </w:r>
      <w:r w:rsidRPr="00830E36">
        <w:rPr>
          <w:lang w:val="fr-FR"/>
        </w:rPr>
        <w:t xml:space="preserve">utilisateur doit avoir des mots de passe suffisamment longs pour assurer un niveau élevé de sécurité. </w:t>
      </w:r>
      <w:r w:rsidRPr="00830E36">
        <w:rPr>
          <w:rFonts w:eastAsia="Calibri" w:cs="Times New Roman"/>
          <w:i/>
          <w:lang w:val="fr-FR"/>
        </w:rPr>
        <w:t>Cela devrait-il faire partie d</w:t>
      </w:r>
      <w:r w:rsidR="00E963E5">
        <w:rPr>
          <w:rFonts w:eastAsia="Calibri" w:cs="Times New Roman"/>
          <w:i/>
          <w:lang w:val="fr-FR"/>
        </w:rPr>
        <w:t>’</w:t>
      </w:r>
      <w:r w:rsidRPr="00830E36">
        <w:rPr>
          <w:rFonts w:eastAsia="Calibri" w:cs="Times New Roman"/>
          <w:i/>
          <w:lang w:val="fr-FR"/>
        </w:rPr>
        <w:t>une annexe qui détaille la sécurité des données ?</w:t>
      </w:r>
    </w:p>
    <w:p w14:paraId="05CBE9A1" w14:textId="38EF1A5F" w:rsidR="00746BD1" w:rsidRPr="00830E36" w:rsidRDefault="00746BD1">
      <w:pPr>
        <w:rPr>
          <w:lang w:val="fr-FR"/>
        </w:rPr>
      </w:pPr>
    </w:p>
    <w:p w14:paraId="1FD9F633" w14:textId="77777777" w:rsidR="00746BD1" w:rsidRPr="00830E36" w:rsidRDefault="00B577DB">
      <w:pPr>
        <w:pStyle w:val="P68B1DB1-Normal1"/>
        <w:jc w:val="center"/>
        <w:rPr>
          <w:lang w:val="fr-FR"/>
        </w:rPr>
      </w:pPr>
      <w:r w:rsidRPr="00830E36">
        <w:rPr>
          <w:lang w:val="fr-FR"/>
        </w:rPr>
        <w:t>Article 10</w:t>
      </w:r>
    </w:p>
    <w:p w14:paraId="07C6BE8C" w14:textId="57F20E28" w:rsidR="00746BD1" w:rsidRPr="00830E36" w:rsidRDefault="00B577DB">
      <w:pPr>
        <w:pStyle w:val="P68B1DB1-Normal1"/>
        <w:jc w:val="center"/>
        <w:rPr>
          <w:lang w:val="fr-FR"/>
        </w:rPr>
      </w:pPr>
      <w:r w:rsidRPr="00830E36">
        <w:rPr>
          <w:lang w:val="fr-FR"/>
        </w:rPr>
        <w:t>Procédures d</w:t>
      </w:r>
      <w:r w:rsidR="00E963E5">
        <w:rPr>
          <w:lang w:val="fr-FR"/>
        </w:rPr>
        <w:t>’</w:t>
      </w:r>
      <w:r w:rsidRPr="00830E36">
        <w:rPr>
          <w:lang w:val="fr-FR"/>
        </w:rPr>
        <w:t>échange et de partage d</w:t>
      </w:r>
      <w:r w:rsidR="00E963E5">
        <w:rPr>
          <w:lang w:val="fr-FR"/>
        </w:rPr>
        <w:t>’</w:t>
      </w:r>
      <w:r w:rsidRPr="00830E36">
        <w:rPr>
          <w:lang w:val="fr-FR"/>
        </w:rPr>
        <w:t>informations sur la pêche</w:t>
      </w:r>
    </w:p>
    <w:p w14:paraId="47D38F18" w14:textId="77777777" w:rsidR="00746BD1" w:rsidRPr="00830E36" w:rsidRDefault="00746BD1">
      <w:pPr>
        <w:rPr>
          <w:lang w:val="fr-FR"/>
        </w:rPr>
      </w:pPr>
    </w:p>
    <w:p w14:paraId="74A3CACD" w14:textId="77777777" w:rsidR="00746BD1" w:rsidRPr="00830E36" w:rsidRDefault="00B577DB">
      <w:pPr>
        <w:rPr>
          <w:lang w:val="fr-FR"/>
        </w:rPr>
      </w:pPr>
      <w:r w:rsidRPr="00830E36">
        <w:rPr>
          <w:lang w:val="fr-FR"/>
        </w:rPr>
        <w:t>Cet article stipule en effet :</w:t>
      </w:r>
    </w:p>
    <w:p w14:paraId="2ED4C802" w14:textId="77777777" w:rsidR="00746BD1" w:rsidRPr="00830E36" w:rsidRDefault="00746BD1">
      <w:pPr>
        <w:rPr>
          <w:lang w:val="fr-FR"/>
        </w:rPr>
      </w:pPr>
    </w:p>
    <w:p w14:paraId="5DE3CED3" w14:textId="5FBEAD3F" w:rsidR="00746BD1" w:rsidRPr="00830E36" w:rsidRDefault="00B577DB">
      <w:pPr>
        <w:pStyle w:val="ListParagraph"/>
        <w:numPr>
          <w:ilvl w:val="0"/>
          <w:numId w:val="8"/>
        </w:numPr>
        <w:rPr>
          <w:lang w:val="fr-FR"/>
        </w:rPr>
      </w:pPr>
      <w:r w:rsidRPr="00830E36">
        <w:rPr>
          <w:lang w:val="fr-FR"/>
        </w:rPr>
        <w:t>L</w:t>
      </w:r>
      <w:r w:rsidR="00E963E5">
        <w:rPr>
          <w:lang w:val="fr-FR"/>
        </w:rPr>
        <w:t>’</w:t>
      </w:r>
      <w:r w:rsidRPr="00830E36">
        <w:rPr>
          <w:lang w:val="fr-FR"/>
        </w:rPr>
        <w:t>échange et le partage d</w:t>
      </w:r>
      <w:r w:rsidR="00E963E5">
        <w:rPr>
          <w:lang w:val="fr-FR"/>
        </w:rPr>
        <w:t>’</w:t>
      </w:r>
      <w:r w:rsidRPr="00830E36">
        <w:rPr>
          <w:lang w:val="fr-FR"/>
        </w:rPr>
        <w:t>informations sur la pêche s</w:t>
      </w:r>
      <w:r w:rsidR="00E963E5">
        <w:rPr>
          <w:lang w:val="fr-FR"/>
        </w:rPr>
        <w:t>’</w:t>
      </w:r>
      <w:r w:rsidRPr="00830E36">
        <w:rPr>
          <w:lang w:val="fr-FR"/>
        </w:rPr>
        <w:t>effectuent principalement par l</w:t>
      </w:r>
      <w:r w:rsidR="00E963E5">
        <w:rPr>
          <w:lang w:val="fr-FR"/>
        </w:rPr>
        <w:t>’</w:t>
      </w:r>
      <w:r w:rsidRPr="00830E36">
        <w:rPr>
          <w:lang w:val="fr-FR"/>
        </w:rPr>
        <w:t>intermédiaire du StaRFISH et du SIGMA et/ou verbalement, visuellement par écrit ou sous toute autre forme sécurisée.</w:t>
      </w:r>
    </w:p>
    <w:p w14:paraId="04CC52F5" w14:textId="2D9746EA" w:rsidR="00746BD1" w:rsidRPr="00830E36" w:rsidRDefault="00746BD1">
      <w:pPr>
        <w:rPr>
          <w:lang w:val="fr-FR"/>
        </w:rPr>
      </w:pPr>
    </w:p>
    <w:p w14:paraId="0E75C861" w14:textId="3B49910F" w:rsidR="00746BD1" w:rsidRPr="00830E36" w:rsidRDefault="00B577DB">
      <w:pPr>
        <w:pStyle w:val="ListParagraph"/>
        <w:numPr>
          <w:ilvl w:val="0"/>
          <w:numId w:val="8"/>
        </w:numPr>
        <w:rPr>
          <w:lang w:val="fr-FR"/>
        </w:rPr>
      </w:pPr>
      <w:r w:rsidRPr="00830E36">
        <w:rPr>
          <w:lang w:val="fr-FR"/>
        </w:rPr>
        <w:t>La réception par la COI et les Parties des informations envoyées par les Parties via StaRFISH et SIGMA s</w:t>
      </w:r>
      <w:r w:rsidR="00E963E5">
        <w:rPr>
          <w:lang w:val="fr-FR"/>
        </w:rPr>
        <w:t>’</w:t>
      </w:r>
      <w:r w:rsidRPr="00830E36">
        <w:rPr>
          <w:lang w:val="fr-FR"/>
        </w:rPr>
        <w:t>effectue de manière sécurisée et sous cryptage par voie électronique, et n</w:t>
      </w:r>
      <w:r w:rsidR="00E963E5">
        <w:rPr>
          <w:lang w:val="fr-FR"/>
        </w:rPr>
        <w:t>’</w:t>
      </w:r>
      <w:r w:rsidRPr="00830E36">
        <w:rPr>
          <w:lang w:val="fr-FR"/>
        </w:rPr>
        <w:t>est accessible qu</w:t>
      </w:r>
      <w:r w:rsidR="00E963E5">
        <w:rPr>
          <w:lang w:val="fr-FR"/>
        </w:rPr>
        <w:t>’</w:t>
      </w:r>
      <w:r w:rsidRPr="00830E36">
        <w:rPr>
          <w:lang w:val="fr-FR"/>
        </w:rPr>
        <w:t>au personnel autorisé détenteur d</w:t>
      </w:r>
      <w:r w:rsidR="00E963E5">
        <w:rPr>
          <w:lang w:val="fr-FR"/>
        </w:rPr>
        <w:t>’</w:t>
      </w:r>
      <w:r w:rsidRPr="00830E36">
        <w:rPr>
          <w:lang w:val="fr-FR"/>
        </w:rPr>
        <w:t>un certificat de confidentialité signé par un utilisateur ou un administrateur concerné.</w:t>
      </w:r>
    </w:p>
    <w:p w14:paraId="143B0BCC" w14:textId="77777777" w:rsidR="00746BD1" w:rsidRPr="00830E36" w:rsidRDefault="00746BD1">
      <w:pPr>
        <w:rPr>
          <w:lang w:val="fr-FR"/>
        </w:rPr>
      </w:pPr>
    </w:p>
    <w:p w14:paraId="1F88448B" w14:textId="38D7B988" w:rsidR="00746BD1" w:rsidRPr="00830E36" w:rsidRDefault="00B577DB">
      <w:pPr>
        <w:pStyle w:val="ListParagraph"/>
        <w:numPr>
          <w:ilvl w:val="0"/>
          <w:numId w:val="8"/>
        </w:numPr>
        <w:rPr>
          <w:lang w:val="fr-FR"/>
        </w:rPr>
      </w:pPr>
      <w:r w:rsidRPr="00830E36">
        <w:rPr>
          <w:lang w:val="fr-FR"/>
        </w:rPr>
        <w:t>Les parties doivent échanger des données VMS conformément au protocole figurant à l</w:t>
      </w:r>
      <w:r w:rsidR="00E963E5">
        <w:rPr>
          <w:lang w:val="fr-FR"/>
        </w:rPr>
        <w:t>’</w:t>
      </w:r>
      <w:r w:rsidRPr="00830E36">
        <w:rPr>
          <w:lang w:val="fr-FR"/>
        </w:rPr>
        <w:t>Annexe XXX.</w:t>
      </w:r>
    </w:p>
    <w:p w14:paraId="22B03A9B" w14:textId="5DC5124A" w:rsidR="00746BD1" w:rsidRPr="00830E36" w:rsidRDefault="00746BD1">
      <w:pPr>
        <w:rPr>
          <w:lang w:val="fr-FR"/>
        </w:rPr>
      </w:pPr>
    </w:p>
    <w:p w14:paraId="6C5B93BF" w14:textId="496F6EE0" w:rsidR="00746BD1" w:rsidRPr="00830E36" w:rsidRDefault="00B577DB">
      <w:pPr>
        <w:pStyle w:val="P68B1DB1-Normal1"/>
        <w:rPr>
          <w:lang w:val="fr-FR"/>
        </w:rPr>
      </w:pPr>
      <w:r w:rsidRPr="00830E36">
        <w:rPr>
          <w:i/>
          <w:lang w:val="fr-FR"/>
        </w:rPr>
        <w:t>A</w:t>
      </w:r>
      <w:r w:rsidR="00830E36">
        <w:rPr>
          <w:i/>
          <w:lang w:val="fr-FR"/>
        </w:rPr>
        <w:t xml:space="preserve"> examiner : </w:t>
      </w:r>
    </w:p>
    <w:p w14:paraId="78C0EDFF" w14:textId="1C7736F7" w:rsidR="00746BD1" w:rsidRPr="00830E36" w:rsidRDefault="00746BD1">
      <w:pPr>
        <w:rPr>
          <w:lang w:val="fr-FR"/>
        </w:rPr>
      </w:pPr>
    </w:p>
    <w:p w14:paraId="248467CA" w14:textId="5F03DCAA" w:rsidR="00746BD1" w:rsidRPr="00830E36" w:rsidRDefault="00B577DB">
      <w:pPr>
        <w:pStyle w:val="ListParagraph"/>
        <w:numPr>
          <w:ilvl w:val="0"/>
          <w:numId w:val="9"/>
        </w:numPr>
        <w:ind w:left="360"/>
        <w:rPr>
          <w:lang w:val="fr-FR"/>
        </w:rPr>
      </w:pPr>
      <w:r w:rsidRPr="00830E36">
        <w:rPr>
          <w:lang w:val="fr-FR"/>
        </w:rPr>
        <w:t>En ce qui concerne la réception des informations, il est suggéré que l</w:t>
      </w:r>
      <w:r w:rsidR="00E963E5">
        <w:rPr>
          <w:lang w:val="fr-FR"/>
        </w:rPr>
        <w:t>’</w:t>
      </w:r>
      <w:r w:rsidRPr="00830E36">
        <w:rPr>
          <w:lang w:val="fr-FR"/>
        </w:rPr>
        <w:t>utilisation de protocoles de partage d</w:t>
      </w:r>
      <w:r w:rsidR="00E963E5">
        <w:rPr>
          <w:lang w:val="fr-FR"/>
        </w:rPr>
        <w:t>’</w:t>
      </w:r>
      <w:r w:rsidRPr="00830E36">
        <w:rPr>
          <w:lang w:val="fr-FR"/>
        </w:rPr>
        <w:t>informations sécurisés soit substantiellement détaillée, afin de garantir que le protocole adopté permette un échange de données le plus sûr possible. Un examen technique et des recommandations sont nécessaires.</w:t>
      </w:r>
    </w:p>
    <w:p w14:paraId="1DFD42AD" w14:textId="17F3A0B2" w:rsidR="00746BD1" w:rsidRPr="00830E36" w:rsidRDefault="00746BD1">
      <w:pPr>
        <w:rPr>
          <w:lang w:val="fr-FR"/>
        </w:rPr>
      </w:pPr>
    </w:p>
    <w:p w14:paraId="786888D4" w14:textId="683FB7DF" w:rsidR="00746BD1" w:rsidRPr="00830E36" w:rsidRDefault="00B577DB">
      <w:pPr>
        <w:pStyle w:val="ListParagraph"/>
        <w:numPr>
          <w:ilvl w:val="0"/>
          <w:numId w:val="9"/>
        </w:numPr>
        <w:ind w:left="360"/>
        <w:rPr>
          <w:lang w:val="fr-FR"/>
        </w:rPr>
      </w:pPr>
      <w:r w:rsidRPr="00830E36">
        <w:rPr>
          <w:lang w:val="fr-FR"/>
        </w:rPr>
        <w:lastRenderedPageBreak/>
        <w:t>Le protocole sur l</w:t>
      </w:r>
      <w:r w:rsidR="00E963E5">
        <w:rPr>
          <w:lang w:val="fr-FR"/>
        </w:rPr>
        <w:t>’</w:t>
      </w:r>
      <w:r w:rsidRPr="00830E36">
        <w:rPr>
          <w:lang w:val="fr-FR"/>
        </w:rPr>
        <w:t>échange de données devrait être réexaminé et une décision devrait être prise quant à son inclusion en annexe au présent accord. Parmi les avantages de son intégration, on peut citer la nécessité de disposer de références claires et accessibles et d</w:t>
      </w:r>
      <w:r w:rsidR="00E963E5">
        <w:rPr>
          <w:lang w:val="fr-FR"/>
        </w:rPr>
        <w:t>’</w:t>
      </w:r>
      <w:r w:rsidRPr="00830E36">
        <w:rPr>
          <w:lang w:val="fr-FR"/>
        </w:rPr>
        <w:t>éviter les doubles emplois et les renvois.</w:t>
      </w:r>
    </w:p>
    <w:p w14:paraId="5A49C0B6" w14:textId="5A72FF5A" w:rsidR="00746BD1" w:rsidRPr="00830E36" w:rsidRDefault="00746BD1">
      <w:pPr>
        <w:rPr>
          <w:lang w:val="fr-FR"/>
        </w:rPr>
      </w:pPr>
    </w:p>
    <w:p w14:paraId="08BAF57E" w14:textId="77777777" w:rsidR="00746BD1" w:rsidRPr="00830E36" w:rsidRDefault="00746BD1">
      <w:pPr>
        <w:rPr>
          <w:lang w:val="fr-FR"/>
        </w:rPr>
      </w:pPr>
    </w:p>
    <w:p w14:paraId="411FD128" w14:textId="77777777" w:rsidR="00746BD1" w:rsidRPr="00830E36" w:rsidRDefault="00B577DB">
      <w:pPr>
        <w:pStyle w:val="P68B1DB1-Normal1"/>
        <w:jc w:val="center"/>
        <w:rPr>
          <w:lang w:val="fr-FR"/>
        </w:rPr>
      </w:pPr>
      <w:r w:rsidRPr="00830E36">
        <w:rPr>
          <w:lang w:val="fr-FR"/>
        </w:rPr>
        <w:t>Article 11</w:t>
      </w:r>
    </w:p>
    <w:p w14:paraId="7CA7CB36" w14:textId="4ABC4BC0" w:rsidR="00746BD1" w:rsidRPr="00830E36" w:rsidRDefault="00B577DB">
      <w:pPr>
        <w:pStyle w:val="P68B1DB1-Normal1"/>
        <w:jc w:val="center"/>
        <w:rPr>
          <w:lang w:val="fr-FR"/>
        </w:rPr>
      </w:pPr>
      <w:r w:rsidRPr="00830E36">
        <w:rPr>
          <w:lang w:val="fr-FR"/>
        </w:rPr>
        <w:t>Mesures de protection de l</w:t>
      </w:r>
      <w:r w:rsidR="00E963E5">
        <w:rPr>
          <w:lang w:val="fr-FR"/>
        </w:rPr>
        <w:t>’</w:t>
      </w:r>
      <w:r w:rsidRPr="00830E36">
        <w:rPr>
          <w:lang w:val="fr-FR"/>
        </w:rPr>
        <w:t>information et de confidentialité</w:t>
      </w:r>
    </w:p>
    <w:p w14:paraId="58955553" w14:textId="22FBC16A" w:rsidR="00746BD1" w:rsidRPr="00830E36" w:rsidRDefault="00746BD1">
      <w:pPr>
        <w:rPr>
          <w:lang w:val="fr-FR"/>
        </w:rPr>
      </w:pPr>
    </w:p>
    <w:p w14:paraId="2F37D048" w14:textId="4B576C71" w:rsidR="00746BD1" w:rsidRPr="00830E36" w:rsidRDefault="00B577DB">
      <w:pPr>
        <w:rPr>
          <w:lang w:val="fr-FR"/>
        </w:rPr>
      </w:pPr>
      <w:r w:rsidRPr="00830E36">
        <w:rPr>
          <w:lang w:val="fr-FR"/>
        </w:rPr>
        <w:t>Cet article décrit six règles pour protéger les informations et maintenir la confidentialité, permet que les informations soient divulguées à des tiers non étatiques, exige qu</w:t>
      </w:r>
      <w:r w:rsidR="00E963E5">
        <w:rPr>
          <w:lang w:val="fr-FR"/>
        </w:rPr>
        <w:t>’</w:t>
      </w:r>
      <w:r w:rsidRPr="00830E36">
        <w:rPr>
          <w:lang w:val="fr-FR"/>
        </w:rPr>
        <w:t>un accord de confidentialité soit signé par tous les utilisateurs, encourage les accords de non-divulgation et énonce les circonstances en cas de perte ou de divulgation réelle ou présumée des informations partagées. La COI et les Parties doivent se tenir mutuellement informées.</w:t>
      </w:r>
    </w:p>
    <w:p w14:paraId="1CC6175A" w14:textId="767A9236" w:rsidR="00746BD1" w:rsidRPr="00830E36" w:rsidRDefault="00746BD1">
      <w:pPr>
        <w:rPr>
          <w:lang w:val="fr-FR"/>
        </w:rPr>
      </w:pPr>
    </w:p>
    <w:p w14:paraId="57481C80" w14:textId="5C6D9953" w:rsidR="00746BD1" w:rsidRPr="00830E36" w:rsidRDefault="00B577DB">
      <w:pPr>
        <w:pStyle w:val="P68B1DB1-Normal2"/>
        <w:rPr>
          <w:lang w:val="fr-FR"/>
        </w:rPr>
      </w:pPr>
      <w:r w:rsidRPr="00830E36">
        <w:rPr>
          <w:lang w:val="fr-FR"/>
        </w:rPr>
        <w:t>A</w:t>
      </w:r>
      <w:r w:rsidR="00830E36">
        <w:rPr>
          <w:lang w:val="fr-FR"/>
        </w:rPr>
        <w:t xml:space="preserve"> examiner :</w:t>
      </w:r>
    </w:p>
    <w:p w14:paraId="6C0B2603" w14:textId="77777777" w:rsidR="00746BD1" w:rsidRPr="00830E36" w:rsidRDefault="00746BD1">
      <w:pPr>
        <w:rPr>
          <w:lang w:val="fr-FR"/>
        </w:rPr>
      </w:pPr>
    </w:p>
    <w:p w14:paraId="1033E2AB" w14:textId="38F7A30A" w:rsidR="00746BD1" w:rsidRPr="00830E36" w:rsidRDefault="00B577DB">
      <w:pPr>
        <w:rPr>
          <w:lang w:val="fr-FR"/>
        </w:rPr>
      </w:pPr>
      <w:r w:rsidRPr="00830E36">
        <w:rPr>
          <w:lang w:val="fr-FR"/>
        </w:rPr>
        <w:t>Il a été suggéré de revoir l</w:t>
      </w:r>
      <w:r w:rsidR="00E963E5">
        <w:rPr>
          <w:lang w:val="fr-FR"/>
        </w:rPr>
        <w:t>’</w:t>
      </w:r>
      <w:r w:rsidRPr="00830E36">
        <w:rPr>
          <w:lang w:val="fr-FR"/>
        </w:rPr>
        <w:t>ensemble de l</w:t>
      </w:r>
      <w:r w:rsidR="00E963E5">
        <w:rPr>
          <w:lang w:val="fr-FR"/>
        </w:rPr>
        <w:t>’</w:t>
      </w:r>
      <w:r w:rsidRPr="00830E36">
        <w:rPr>
          <w:lang w:val="fr-FR"/>
        </w:rPr>
        <w:t>article, en notant que le COI ne peut pas être liée par cet accord et qu</w:t>
      </w:r>
      <w:r w:rsidR="00E963E5">
        <w:rPr>
          <w:lang w:val="fr-FR"/>
        </w:rPr>
        <w:t>’</w:t>
      </w:r>
      <w:r w:rsidRPr="00830E36">
        <w:rPr>
          <w:lang w:val="fr-FR"/>
        </w:rPr>
        <w:t xml:space="preserve">une contribution technique est nécessaire. Les considérations </w:t>
      </w:r>
      <w:r w:rsidR="00830E36" w:rsidRPr="00830E36">
        <w:rPr>
          <w:lang w:val="fr-FR"/>
        </w:rPr>
        <w:t>comprennent :</w:t>
      </w:r>
    </w:p>
    <w:p w14:paraId="4C24BAA2" w14:textId="3818A67A" w:rsidR="00746BD1" w:rsidRPr="00830E36" w:rsidRDefault="00746BD1">
      <w:pPr>
        <w:rPr>
          <w:lang w:val="fr-FR"/>
        </w:rPr>
      </w:pPr>
    </w:p>
    <w:p w14:paraId="7891E219" w14:textId="77777777" w:rsidR="00746BD1" w:rsidRPr="00830E36" w:rsidRDefault="00B577DB">
      <w:pPr>
        <w:pStyle w:val="ListParagraph"/>
        <w:numPr>
          <w:ilvl w:val="0"/>
          <w:numId w:val="10"/>
        </w:numPr>
        <w:rPr>
          <w:lang w:val="fr-FR"/>
        </w:rPr>
      </w:pPr>
      <w:r w:rsidRPr="00830E36">
        <w:rPr>
          <w:lang w:val="fr-FR"/>
        </w:rPr>
        <w:t>La disposition devrait mieux définir à qui les informations/données devraient être divulguées.</w:t>
      </w:r>
    </w:p>
    <w:p w14:paraId="0F9BBED7" w14:textId="77777777" w:rsidR="00746BD1" w:rsidRPr="00830E36" w:rsidRDefault="00746BD1">
      <w:pPr>
        <w:rPr>
          <w:lang w:val="fr-FR"/>
        </w:rPr>
      </w:pPr>
    </w:p>
    <w:p w14:paraId="64F4E4FE" w14:textId="5DC4B329" w:rsidR="00746BD1" w:rsidRPr="00830E36" w:rsidRDefault="00B577DB">
      <w:pPr>
        <w:pStyle w:val="ListParagraph"/>
        <w:numPr>
          <w:ilvl w:val="0"/>
          <w:numId w:val="10"/>
        </w:numPr>
        <w:rPr>
          <w:lang w:val="fr-FR"/>
        </w:rPr>
      </w:pPr>
      <w:r w:rsidRPr="00830E36">
        <w:rPr>
          <w:lang w:val="fr-FR"/>
        </w:rPr>
        <w:t>Il devrait être clair si la divulgation d</w:t>
      </w:r>
      <w:r w:rsidR="00E963E5">
        <w:rPr>
          <w:lang w:val="fr-FR"/>
        </w:rPr>
        <w:t>’</w:t>
      </w:r>
      <w:r w:rsidRPr="00830E36">
        <w:rPr>
          <w:lang w:val="fr-FR"/>
        </w:rPr>
        <w:t>informations peut être faite sur demande ou autrement (par exemple, si cela est nécessaire pour l</w:t>
      </w:r>
      <w:r w:rsidR="00E963E5">
        <w:rPr>
          <w:lang w:val="fr-FR"/>
        </w:rPr>
        <w:t>’</w:t>
      </w:r>
      <w:r w:rsidRPr="00830E36">
        <w:rPr>
          <w:lang w:val="fr-FR"/>
        </w:rPr>
        <w:t>application des mesures régionales ou de la législation nationale).</w:t>
      </w:r>
    </w:p>
    <w:p w14:paraId="2201C888" w14:textId="77777777" w:rsidR="00746BD1" w:rsidRPr="00830E36" w:rsidRDefault="00746BD1">
      <w:pPr>
        <w:rPr>
          <w:lang w:val="fr-FR"/>
        </w:rPr>
      </w:pPr>
    </w:p>
    <w:p w14:paraId="3976BE3B" w14:textId="29BC338E" w:rsidR="00746BD1" w:rsidRPr="00830E36" w:rsidRDefault="00B577DB">
      <w:pPr>
        <w:pStyle w:val="ListParagraph"/>
        <w:numPr>
          <w:ilvl w:val="0"/>
          <w:numId w:val="10"/>
        </w:numPr>
        <w:rPr>
          <w:lang w:val="fr-FR"/>
        </w:rPr>
      </w:pPr>
      <w:r w:rsidRPr="00830E36">
        <w:rPr>
          <w:lang w:val="fr-FR"/>
        </w:rPr>
        <w:t>Des critères de divulgation de l</w:t>
      </w:r>
      <w:r w:rsidR="00E963E5">
        <w:rPr>
          <w:lang w:val="fr-FR"/>
        </w:rPr>
        <w:t>’</w:t>
      </w:r>
      <w:r w:rsidRPr="00830E36">
        <w:rPr>
          <w:lang w:val="fr-FR"/>
        </w:rPr>
        <w:t xml:space="preserve">information devraient être introduits. </w:t>
      </w:r>
    </w:p>
    <w:p w14:paraId="1B6CB973" w14:textId="77777777" w:rsidR="00746BD1" w:rsidRPr="00830E36" w:rsidRDefault="00746BD1">
      <w:pPr>
        <w:rPr>
          <w:lang w:val="fr-FR"/>
        </w:rPr>
      </w:pPr>
    </w:p>
    <w:p w14:paraId="24B7770E" w14:textId="2E20BC38" w:rsidR="00746BD1" w:rsidRPr="00830E36" w:rsidRDefault="00B577DB">
      <w:pPr>
        <w:pStyle w:val="ListParagraph"/>
        <w:numPr>
          <w:ilvl w:val="0"/>
          <w:numId w:val="10"/>
        </w:numPr>
        <w:rPr>
          <w:lang w:val="fr-FR"/>
        </w:rPr>
      </w:pPr>
      <w:r w:rsidRPr="00830E36">
        <w:rPr>
          <w:lang w:val="fr-FR"/>
        </w:rPr>
        <w:t>La procédure de diffusion des informations/données prévue à l</w:t>
      </w:r>
      <w:r w:rsidR="00E963E5">
        <w:rPr>
          <w:lang w:val="fr-FR"/>
        </w:rPr>
        <w:t>’</w:t>
      </w:r>
      <w:r w:rsidRPr="00830E36">
        <w:rPr>
          <w:lang w:val="fr-FR"/>
        </w:rPr>
        <w:t>article 12, alinéas (a) et (b), devrait s</w:t>
      </w:r>
      <w:r w:rsidR="00E963E5">
        <w:rPr>
          <w:lang w:val="fr-FR"/>
        </w:rPr>
        <w:t>’</w:t>
      </w:r>
      <w:r w:rsidRPr="00830E36">
        <w:rPr>
          <w:lang w:val="fr-FR"/>
        </w:rPr>
        <w:t xml:space="preserve">appliquer dans tous les cas. </w:t>
      </w:r>
    </w:p>
    <w:p w14:paraId="477846F8" w14:textId="77777777" w:rsidR="00746BD1" w:rsidRPr="00830E36" w:rsidRDefault="00746BD1">
      <w:pPr>
        <w:pStyle w:val="ListParagraph"/>
        <w:rPr>
          <w:lang w:val="fr-FR"/>
        </w:rPr>
      </w:pPr>
    </w:p>
    <w:p w14:paraId="20751A22" w14:textId="18373A1A" w:rsidR="00746BD1" w:rsidRPr="00830E36" w:rsidRDefault="00B577DB">
      <w:pPr>
        <w:pStyle w:val="ListParagraph"/>
        <w:numPr>
          <w:ilvl w:val="0"/>
          <w:numId w:val="10"/>
        </w:numPr>
        <w:rPr>
          <w:lang w:val="fr-FR"/>
        </w:rPr>
      </w:pPr>
      <w:r w:rsidRPr="00830E36">
        <w:rPr>
          <w:lang w:val="fr-FR"/>
        </w:rPr>
        <w:t>Il faut étendre le paragraphe 4 pour inclure des pare-feu, des bases de données et d</w:t>
      </w:r>
      <w:r w:rsidR="00E963E5">
        <w:rPr>
          <w:lang w:val="fr-FR"/>
        </w:rPr>
        <w:t>’</w:t>
      </w:r>
      <w:r w:rsidRPr="00830E36">
        <w:rPr>
          <w:lang w:val="fr-FR"/>
        </w:rPr>
        <w:t>autres co</w:t>
      </w:r>
      <w:r w:rsidR="00E50F0C">
        <w:rPr>
          <w:lang w:val="fr-FR"/>
        </w:rPr>
        <w:t>mposants techniques. Le terme « </w:t>
      </w:r>
      <w:r w:rsidRPr="00830E36">
        <w:rPr>
          <w:lang w:val="fr-FR"/>
        </w:rPr>
        <w:t>Infrastrucure</w:t>
      </w:r>
      <w:r w:rsidR="005B73C6">
        <w:rPr>
          <w:lang w:val="fr-FR"/>
        </w:rPr>
        <w:t>s informatiques</w:t>
      </w:r>
      <w:r w:rsidR="00E50F0C">
        <w:rPr>
          <w:lang w:val="fr-FR"/>
        </w:rPr>
        <w:t> »</w:t>
      </w:r>
      <w:r w:rsidRPr="00830E36">
        <w:rPr>
          <w:lang w:val="fr-FR"/>
        </w:rPr>
        <w:t xml:space="preserve"> peut également être considéré comme faisant partie de la définition et peut nécessiter la contribution d</w:t>
      </w:r>
      <w:r w:rsidR="00E963E5">
        <w:rPr>
          <w:lang w:val="fr-FR"/>
        </w:rPr>
        <w:t>’</w:t>
      </w:r>
      <w:r w:rsidRPr="00830E36">
        <w:rPr>
          <w:lang w:val="fr-FR"/>
        </w:rPr>
        <w:t>un expert informatique / réseau/ serveur.</w:t>
      </w:r>
    </w:p>
    <w:p w14:paraId="3E65ECCE" w14:textId="673A7918" w:rsidR="00746BD1" w:rsidRPr="00830E36" w:rsidRDefault="00746BD1">
      <w:pPr>
        <w:rPr>
          <w:lang w:val="fr-FR"/>
        </w:rPr>
      </w:pPr>
    </w:p>
    <w:p w14:paraId="05F635AB" w14:textId="77777777" w:rsidR="00746BD1" w:rsidRPr="00830E36" w:rsidRDefault="00B577DB">
      <w:pPr>
        <w:pStyle w:val="P68B1DB1-Normal1"/>
        <w:jc w:val="center"/>
        <w:rPr>
          <w:lang w:val="fr-FR"/>
        </w:rPr>
      </w:pPr>
      <w:r w:rsidRPr="00830E36">
        <w:rPr>
          <w:lang w:val="fr-FR"/>
        </w:rPr>
        <w:t>Article 12</w:t>
      </w:r>
    </w:p>
    <w:p w14:paraId="5175980B" w14:textId="33833E49" w:rsidR="00746BD1" w:rsidRPr="00830E36" w:rsidRDefault="00B577DB">
      <w:pPr>
        <w:pStyle w:val="P68B1DB1-Normal1"/>
        <w:jc w:val="center"/>
        <w:rPr>
          <w:lang w:val="fr-FR"/>
        </w:rPr>
      </w:pPr>
      <w:r w:rsidRPr="00830E36">
        <w:rPr>
          <w:lang w:val="fr-FR"/>
        </w:rPr>
        <w:t>Diffusion d</w:t>
      </w:r>
      <w:r w:rsidR="00E963E5">
        <w:rPr>
          <w:lang w:val="fr-FR"/>
        </w:rPr>
        <w:t>’</w:t>
      </w:r>
      <w:r w:rsidRPr="00830E36">
        <w:rPr>
          <w:lang w:val="fr-FR"/>
        </w:rPr>
        <w:t>informations à caractère confidentiel</w:t>
      </w:r>
    </w:p>
    <w:p w14:paraId="1E6D6896" w14:textId="66520CF8" w:rsidR="00746BD1" w:rsidRPr="00830E36" w:rsidRDefault="00746BD1">
      <w:pPr>
        <w:rPr>
          <w:lang w:val="fr-FR"/>
        </w:rPr>
      </w:pPr>
    </w:p>
    <w:p w14:paraId="74C8750F" w14:textId="468798CC" w:rsidR="00746BD1" w:rsidRPr="00830E36" w:rsidRDefault="00B577DB">
      <w:pPr>
        <w:rPr>
          <w:lang w:val="fr-FR"/>
        </w:rPr>
      </w:pPr>
      <w:r w:rsidRPr="00830E36">
        <w:rPr>
          <w:lang w:val="fr-FR"/>
        </w:rPr>
        <w:t>Cela se rapporte à l</w:t>
      </w:r>
      <w:r w:rsidR="00E963E5">
        <w:rPr>
          <w:lang w:val="fr-FR"/>
        </w:rPr>
        <w:t>’</w:t>
      </w:r>
      <w:r w:rsidRPr="00830E36">
        <w:rPr>
          <w:lang w:val="fr-FR"/>
        </w:rPr>
        <w:t>article précédent et régit la divulgation d</w:t>
      </w:r>
      <w:r w:rsidR="00E963E5">
        <w:rPr>
          <w:lang w:val="fr-FR"/>
        </w:rPr>
        <w:t>’</w:t>
      </w:r>
      <w:r w:rsidRPr="00830E36">
        <w:rPr>
          <w:lang w:val="fr-FR"/>
        </w:rPr>
        <w:t>informations confidentielles, mais n</w:t>
      </w:r>
      <w:r w:rsidR="00E963E5">
        <w:rPr>
          <w:lang w:val="fr-FR"/>
        </w:rPr>
        <w:t>’</w:t>
      </w:r>
      <w:r w:rsidRPr="00830E36">
        <w:rPr>
          <w:lang w:val="fr-FR"/>
        </w:rPr>
        <w:t>inclut pas les informations spécifiques nécessaires qui sont indiquées entre parenthèses :</w:t>
      </w:r>
    </w:p>
    <w:p w14:paraId="5D2716DF" w14:textId="3FA5458C" w:rsidR="00746BD1" w:rsidRPr="00830E36" w:rsidRDefault="00746BD1">
      <w:pPr>
        <w:rPr>
          <w:lang w:val="fr-FR"/>
        </w:rPr>
      </w:pPr>
    </w:p>
    <w:p w14:paraId="4269F236" w14:textId="17F0558E" w:rsidR="00746BD1" w:rsidRPr="00830E36" w:rsidRDefault="00E50F0C">
      <w:pPr>
        <w:pStyle w:val="P68B1DB1-Normal3"/>
        <w:ind w:left="720"/>
        <w:rPr>
          <w:lang w:val="fr-FR"/>
        </w:rPr>
      </w:pPr>
      <w:r>
        <w:rPr>
          <w:lang w:val="fr-FR"/>
        </w:rPr>
        <w:t>« </w:t>
      </w:r>
      <w:r w:rsidR="00B577DB" w:rsidRPr="00830E36">
        <w:rPr>
          <w:lang w:val="fr-FR"/>
        </w:rPr>
        <w:t>Nonobstant les dispositions de l</w:t>
      </w:r>
      <w:r w:rsidR="00E963E5">
        <w:rPr>
          <w:lang w:val="fr-FR"/>
        </w:rPr>
        <w:t>’</w:t>
      </w:r>
      <w:r w:rsidR="00B577DB" w:rsidRPr="00830E36">
        <w:rPr>
          <w:lang w:val="fr-FR"/>
        </w:rPr>
        <w:t>article 11, les informations confidentielles peuvent être divulguées (voir les critères le cas échéant) à (xxxx) dans le cas (par exemple, une enquête officielle ou une demande à des fins liées à une procédure judiciaire ou à une question par des autorités désignées qui peuvent être convenues par les Parties (par exemple, la police nationale ou internationale, la défense mandatée, la force, les autorités judiciaires, juridiques, de défense, de la force, les autorités d</w:t>
      </w:r>
      <w:r w:rsidR="00E963E5">
        <w:rPr>
          <w:lang w:val="fr-FR"/>
        </w:rPr>
        <w:t>’</w:t>
      </w:r>
      <w:r w:rsidR="00B577DB" w:rsidRPr="00830E36">
        <w:rPr>
          <w:lang w:val="fr-FR"/>
        </w:rPr>
        <w:t>application des règlements de pêche ou les autorités connexes) ou autrement sur accord de toutes les Parties, à condition que:..</w:t>
      </w:r>
      <w:r>
        <w:rPr>
          <w:lang w:val="fr-FR"/>
        </w:rPr>
        <w:t> »</w:t>
      </w:r>
    </w:p>
    <w:p w14:paraId="2D67B02F" w14:textId="7DDED4FC" w:rsidR="00746BD1" w:rsidRPr="00830E36" w:rsidRDefault="00746BD1">
      <w:pPr>
        <w:ind w:left="720"/>
        <w:rPr>
          <w:rFonts w:eastAsia="MS Mincho" w:cs="Times New Roman"/>
          <w:lang w:val="fr-FR"/>
        </w:rPr>
      </w:pPr>
    </w:p>
    <w:p w14:paraId="689DC68C" w14:textId="24223145" w:rsidR="00746BD1" w:rsidRPr="00830E36" w:rsidRDefault="00B577DB">
      <w:pPr>
        <w:rPr>
          <w:lang w:val="fr-FR"/>
        </w:rPr>
      </w:pPr>
      <w:r w:rsidRPr="00830E36">
        <w:rPr>
          <w:lang w:val="fr-FR"/>
        </w:rPr>
        <w:t>Le consentement à la divulgation est requis par (i) la Partie ou le Partenaire qui a échangé ou partagé les informations par l</w:t>
      </w:r>
      <w:r w:rsidR="00E963E5">
        <w:rPr>
          <w:lang w:val="fr-FR"/>
        </w:rPr>
        <w:t>’</w:t>
      </w:r>
      <w:r w:rsidRPr="00830E36">
        <w:rPr>
          <w:lang w:val="fr-FR"/>
        </w:rPr>
        <w:t>intermédiaire de StarFISH, SIGMA ou autre comme convenu et (ii) l</w:t>
      </w:r>
      <w:r w:rsidR="00E963E5">
        <w:rPr>
          <w:lang w:val="fr-FR"/>
        </w:rPr>
        <w:t>’</w:t>
      </w:r>
      <w:r w:rsidRPr="00830E36">
        <w:rPr>
          <w:lang w:val="fr-FR"/>
        </w:rPr>
        <w:t>État qui a effectué l</w:t>
      </w:r>
      <w:r w:rsidR="00E963E5">
        <w:rPr>
          <w:lang w:val="fr-FR"/>
        </w:rPr>
        <w:t>’</w:t>
      </w:r>
      <w:r w:rsidRPr="00830E36">
        <w:rPr>
          <w:lang w:val="fr-FR"/>
        </w:rPr>
        <w:t>opération, l</w:t>
      </w:r>
      <w:r w:rsidR="00E963E5">
        <w:rPr>
          <w:lang w:val="fr-FR"/>
        </w:rPr>
        <w:t>’</w:t>
      </w:r>
      <w:r w:rsidRPr="00830E36">
        <w:rPr>
          <w:lang w:val="fr-FR"/>
        </w:rPr>
        <w:t>inspection, l</w:t>
      </w:r>
      <w:r w:rsidR="00E963E5">
        <w:rPr>
          <w:lang w:val="fr-FR"/>
        </w:rPr>
        <w:t>’</w:t>
      </w:r>
      <w:r w:rsidRPr="00830E36">
        <w:rPr>
          <w:lang w:val="fr-FR"/>
        </w:rPr>
        <w:t>observation et/ou l</w:t>
      </w:r>
      <w:r w:rsidR="00E963E5">
        <w:rPr>
          <w:lang w:val="fr-FR"/>
        </w:rPr>
        <w:t>’</w:t>
      </w:r>
      <w:r w:rsidRPr="00830E36">
        <w:rPr>
          <w:lang w:val="fr-FR"/>
        </w:rPr>
        <w:t>enquête.</w:t>
      </w:r>
    </w:p>
    <w:p w14:paraId="33A98DE2" w14:textId="77777777" w:rsidR="00746BD1" w:rsidRPr="00830E36" w:rsidRDefault="00746BD1">
      <w:pPr>
        <w:rPr>
          <w:b/>
          <w:lang w:val="fr-FR"/>
        </w:rPr>
      </w:pPr>
    </w:p>
    <w:p w14:paraId="39BDE03A" w14:textId="177ABECA" w:rsidR="00746BD1" w:rsidRPr="00830E36" w:rsidRDefault="00B577DB">
      <w:pPr>
        <w:pStyle w:val="P68B1DB1-Normal2"/>
        <w:rPr>
          <w:lang w:val="fr-FR"/>
        </w:rPr>
      </w:pPr>
      <w:r w:rsidRPr="00830E36">
        <w:rPr>
          <w:lang w:val="fr-FR"/>
        </w:rPr>
        <w:t>A examiner :</w:t>
      </w:r>
    </w:p>
    <w:p w14:paraId="4A9D2B2D" w14:textId="77777777" w:rsidR="00746BD1" w:rsidRPr="00830E36" w:rsidRDefault="00746BD1">
      <w:pPr>
        <w:rPr>
          <w:b/>
          <w:lang w:val="fr-FR"/>
        </w:rPr>
      </w:pPr>
    </w:p>
    <w:p w14:paraId="11CBD5F2" w14:textId="73C430E2" w:rsidR="00746BD1" w:rsidRPr="00830E36" w:rsidRDefault="00B577DB">
      <w:pPr>
        <w:pStyle w:val="ListParagraph"/>
        <w:numPr>
          <w:ilvl w:val="0"/>
          <w:numId w:val="13"/>
        </w:numPr>
        <w:rPr>
          <w:lang w:val="fr-FR"/>
        </w:rPr>
      </w:pPr>
      <w:r w:rsidRPr="00830E36">
        <w:rPr>
          <w:lang w:val="fr-FR"/>
        </w:rPr>
        <w:t>Une contribution technique est nécessaire, par exemple :</w:t>
      </w:r>
    </w:p>
    <w:p w14:paraId="271BBE52" w14:textId="1F1407D8" w:rsidR="00746BD1" w:rsidRPr="00830E36" w:rsidRDefault="00B577DB">
      <w:pPr>
        <w:pStyle w:val="ListParagraph"/>
        <w:numPr>
          <w:ilvl w:val="0"/>
          <w:numId w:val="12"/>
        </w:numPr>
        <w:rPr>
          <w:lang w:val="fr-FR"/>
        </w:rPr>
      </w:pPr>
      <w:r w:rsidRPr="00830E36">
        <w:rPr>
          <w:lang w:val="fr-FR"/>
        </w:rPr>
        <w:t xml:space="preserve">les critères de diffusion ; </w:t>
      </w:r>
    </w:p>
    <w:p w14:paraId="0083BEEB" w14:textId="28DFBF69" w:rsidR="00746BD1" w:rsidRPr="00830E36" w:rsidRDefault="00B577DB">
      <w:pPr>
        <w:pStyle w:val="ListParagraph"/>
        <w:numPr>
          <w:ilvl w:val="0"/>
          <w:numId w:val="11"/>
        </w:numPr>
        <w:rPr>
          <w:lang w:val="fr-FR"/>
        </w:rPr>
      </w:pPr>
      <w:r w:rsidRPr="00830E36">
        <w:rPr>
          <w:lang w:val="fr-FR"/>
        </w:rPr>
        <w:t>à qui la diffusion peut être accordée (s</w:t>
      </w:r>
      <w:r w:rsidR="00E963E5">
        <w:rPr>
          <w:lang w:val="fr-FR"/>
        </w:rPr>
        <w:t>’</w:t>
      </w:r>
      <w:r w:rsidRPr="00830E36">
        <w:rPr>
          <w:lang w:val="fr-FR"/>
        </w:rPr>
        <w:t>agit-il d</w:t>
      </w:r>
      <w:r w:rsidR="00E963E5">
        <w:rPr>
          <w:lang w:val="fr-FR"/>
        </w:rPr>
        <w:t>’</w:t>
      </w:r>
      <w:r w:rsidRPr="00830E36">
        <w:rPr>
          <w:lang w:val="fr-FR"/>
        </w:rPr>
        <w:t>une partie, d</w:t>
      </w:r>
      <w:r w:rsidR="00E963E5">
        <w:rPr>
          <w:lang w:val="fr-FR"/>
        </w:rPr>
        <w:t>’</w:t>
      </w:r>
      <w:r w:rsidRPr="00830E36">
        <w:rPr>
          <w:lang w:val="fr-FR"/>
        </w:rPr>
        <w:t>une personne autorisée, etc.) ;</w:t>
      </w:r>
    </w:p>
    <w:p w14:paraId="330F204B" w14:textId="7B90AB25" w:rsidR="00746BD1" w:rsidRPr="00830E36" w:rsidRDefault="00B577DB">
      <w:pPr>
        <w:pStyle w:val="ListParagraph"/>
        <w:numPr>
          <w:ilvl w:val="0"/>
          <w:numId w:val="11"/>
        </w:numPr>
        <w:rPr>
          <w:lang w:val="fr-FR"/>
        </w:rPr>
      </w:pPr>
      <w:r w:rsidRPr="00830E36">
        <w:rPr>
          <w:lang w:val="fr-FR"/>
        </w:rPr>
        <w:t>doit-elle être diffusée uniquement dans le cadre d</w:t>
      </w:r>
      <w:r w:rsidR="00E963E5">
        <w:rPr>
          <w:lang w:val="fr-FR"/>
        </w:rPr>
        <w:t>’</w:t>
      </w:r>
      <w:r w:rsidRPr="00830E36">
        <w:rPr>
          <w:lang w:val="fr-FR"/>
        </w:rPr>
        <w:t>une enquête/demande officielle ?</w:t>
      </w:r>
    </w:p>
    <w:p w14:paraId="7D95B897" w14:textId="5F58546B" w:rsidR="00746BD1" w:rsidRPr="00830E36" w:rsidRDefault="00B577DB">
      <w:pPr>
        <w:pStyle w:val="ListParagraph"/>
        <w:numPr>
          <w:ilvl w:val="0"/>
          <w:numId w:val="11"/>
        </w:numPr>
        <w:rPr>
          <w:lang w:val="fr-FR"/>
        </w:rPr>
      </w:pPr>
      <w:r w:rsidRPr="00830E36">
        <w:rPr>
          <w:lang w:val="fr-FR"/>
        </w:rPr>
        <w:t>les parties devraient-elles s</w:t>
      </w:r>
      <w:r w:rsidR="00E963E5">
        <w:rPr>
          <w:lang w:val="fr-FR"/>
        </w:rPr>
        <w:t>’</w:t>
      </w:r>
      <w:r w:rsidRPr="00830E36">
        <w:rPr>
          <w:lang w:val="fr-FR"/>
        </w:rPr>
        <w:t>entendre sur l</w:t>
      </w:r>
      <w:r w:rsidR="00E963E5">
        <w:rPr>
          <w:lang w:val="fr-FR"/>
        </w:rPr>
        <w:t>’</w:t>
      </w:r>
      <w:r w:rsidRPr="00830E36">
        <w:rPr>
          <w:lang w:val="fr-FR"/>
        </w:rPr>
        <w:t>autorité à laquelle l</w:t>
      </w:r>
      <w:r w:rsidR="00E963E5">
        <w:rPr>
          <w:lang w:val="fr-FR"/>
        </w:rPr>
        <w:t>’</w:t>
      </w:r>
      <w:r w:rsidRPr="00830E36">
        <w:rPr>
          <w:lang w:val="fr-FR"/>
        </w:rPr>
        <w:t>information est communiquée ou devrait-on fournir une norme minimale ?</w:t>
      </w:r>
    </w:p>
    <w:p w14:paraId="27F62726" w14:textId="77777777" w:rsidR="00746BD1" w:rsidRPr="00830E36" w:rsidRDefault="00746BD1">
      <w:pPr>
        <w:rPr>
          <w:lang w:val="fr-FR"/>
        </w:rPr>
      </w:pPr>
    </w:p>
    <w:p w14:paraId="6A07F324" w14:textId="2B47B1DF" w:rsidR="00746BD1" w:rsidRPr="00830E36" w:rsidRDefault="00B577DB">
      <w:pPr>
        <w:pStyle w:val="ListParagraph"/>
        <w:numPr>
          <w:ilvl w:val="0"/>
          <w:numId w:val="13"/>
        </w:numPr>
        <w:rPr>
          <w:lang w:val="fr-FR"/>
        </w:rPr>
      </w:pPr>
      <w:r w:rsidRPr="00830E36">
        <w:rPr>
          <w:lang w:val="fr-FR"/>
        </w:rPr>
        <w:t>Préciser si cela est limité à StaRFISH, SIGMA ou autre, ou devrait être plus spécifique ?</w:t>
      </w:r>
    </w:p>
    <w:p w14:paraId="787F7753" w14:textId="77777777" w:rsidR="00746BD1" w:rsidRPr="00830E36" w:rsidRDefault="00746BD1">
      <w:pPr>
        <w:pStyle w:val="ListParagraph"/>
        <w:ind w:left="360"/>
        <w:rPr>
          <w:lang w:val="fr-FR"/>
        </w:rPr>
      </w:pPr>
    </w:p>
    <w:p w14:paraId="09F14B27" w14:textId="0D5D515B" w:rsidR="00746BD1" w:rsidRPr="00830E36" w:rsidRDefault="00B577DB">
      <w:pPr>
        <w:pStyle w:val="ListParagraph"/>
        <w:numPr>
          <w:ilvl w:val="0"/>
          <w:numId w:val="13"/>
        </w:numPr>
        <w:rPr>
          <w:lang w:val="fr-FR"/>
        </w:rPr>
      </w:pPr>
      <w:r w:rsidRPr="00830E36">
        <w:rPr>
          <w:lang w:val="fr-FR"/>
        </w:rPr>
        <w:t>Le consentement serait-il également requis d</w:t>
      </w:r>
      <w:r w:rsidR="00E963E5">
        <w:rPr>
          <w:lang w:val="fr-FR"/>
        </w:rPr>
        <w:t>’</w:t>
      </w:r>
      <w:r w:rsidRPr="00830E36">
        <w:rPr>
          <w:lang w:val="fr-FR"/>
        </w:rPr>
        <w:t>un REIO ou d</w:t>
      </w:r>
      <w:r w:rsidR="00E963E5">
        <w:rPr>
          <w:lang w:val="fr-FR"/>
        </w:rPr>
        <w:t>’</w:t>
      </w:r>
      <w:r w:rsidRPr="00830E36">
        <w:rPr>
          <w:lang w:val="fr-FR"/>
        </w:rPr>
        <w:t>un autre organisme visé à l</w:t>
      </w:r>
      <w:r w:rsidR="00E963E5">
        <w:rPr>
          <w:lang w:val="fr-FR"/>
        </w:rPr>
        <w:t>’</w:t>
      </w:r>
      <w:r w:rsidRPr="00830E36">
        <w:rPr>
          <w:lang w:val="fr-FR"/>
        </w:rPr>
        <w:t>alinéa (ii) ?</w:t>
      </w:r>
    </w:p>
    <w:p w14:paraId="23DA996A" w14:textId="55635B58" w:rsidR="00746BD1" w:rsidRPr="00830E36" w:rsidRDefault="00746BD1">
      <w:pPr>
        <w:rPr>
          <w:lang w:val="fr-FR"/>
        </w:rPr>
      </w:pPr>
    </w:p>
    <w:p w14:paraId="4FF87BF9" w14:textId="77777777" w:rsidR="00746BD1" w:rsidRPr="00830E36" w:rsidRDefault="00B577DB">
      <w:pPr>
        <w:pStyle w:val="P68B1DB1-Normal1"/>
        <w:jc w:val="center"/>
        <w:rPr>
          <w:lang w:val="fr-FR"/>
        </w:rPr>
      </w:pPr>
      <w:r w:rsidRPr="00830E36">
        <w:rPr>
          <w:lang w:val="fr-FR"/>
        </w:rPr>
        <w:t>Article 13</w:t>
      </w:r>
    </w:p>
    <w:p w14:paraId="0AB8EDAE" w14:textId="77777777" w:rsidR="00746BD1" w:rsidRPr="00830E36" w:rsidRDefault="00B577DB">
      <w:pPr>
        <w:pStyle w:val="P68B1DB1-Normal1"/>
        <w:jc w:val="center"/>
        <w:rPr>
          <w:lang w:val="fr-FR"/>
        </w:rPr>
      </w:pPr>
      <w:r w:rsidRPr="00830E36">
        <w:rPr>
          <w:lang w:val="fr-FR"/>
        </w:rPr>
        <w:t>Services de secrétariat et dispositions financières</w:t>
      </w:r>
    </w:p>
    <w:p w14:paraId="5FB41D74" w14:textId="4EC9B18E" w:rsidR="00746BD1" w:rsidRPr="00830E36" w:rsidRDefault="00746BD1">
      <w:pPr>
        <w:rPr>
          <w:lang w:val="fr-FR"/>
        </w:rPr>
      </w:pPr>
    </w:p>
    <w:p w14:paraId="2AAD6FB3" w14:textId="698F7F44" w:rsidR="00746BD1" w:rsidRPr="00830E36" w:rsidRDefault="00B577DB">
      <w:pPr>
        <w:rPr>
          <w:lang w:val="fr-FR"/>
        </w:rPr>
      </w:pPr>
      <w:r w:rsidRPr="00830E36">
        <w:rPr>
          <w:lang w:val="fr-FR"/>
        </w:rPr>
        <w:t>Il prévoit qu</w:t>
      </w:r>
      <w:r w:rsidR="00E963E5">
        <w:rPr>
          <w:lang w:val="fr-FR"/>
        </w:rPr>
        <w:t>’</w:t>
      </w:r>
      <w:r w:rsidRPr="00830E36">
        <w:rPr>
          <w:lang w:val="fr-FR"/>
        </w:rPr>
        <w:t>il n</w:t>
      </w:r>
      <w:r w:rsidR="00E963E5">
        <w:rPr>
          <w:lang w:val="fr-FR"/>
        </w:rPr>
        <w:t>’</w:t>
      </w:r>
      <w:r w:rsidRPr="00830E36">
        <w:rPr>
          <w:lang w:val="fr-FR"/>
        </w:rPr>
        <w:t>y a pas de coût supplémentaire pour les États participants pour la mise en œuvre et la maintenance du système d</w:t>
      </w:r>
      <w:r w:rsidR="00E963E5">
        <w:rPr>
          <w:lang w:val="fr-FR"/>
        </w:rPr>
        <w:t>’</w:t>
      </w:r>
      <w:r w:rsidRPr="00830E36">
        <w:rPr>
          <w:lang w:val="fr-FR"/>
        </w:rPr>
        <w:t>échange d</w:t>
      </w:r>
      <w:r w:rsidR="00E963E5">
        <w:rPr>
          <w:lang w:val="fr-FR"/>
        </w:rPr>
        <w:t>’</w:t>
      </w:r>
      <w:r w:rsidRPr="00830E36">
        <w:rPr>
          <w:lang w:val="fr-FR"/>
        </w:rPr>
        <w:t>informations sur la pêche.</w:t>
      </w:r>
    </w:p>
    <w:p w14:paraId="60EFBBAA" w14:textId="67FF4D76" w:rsidR="00746BD1" w:rsidRPr="00830E36" w:rsidRDefault="00746BD1">
      <w:pPr>
        <w:rPr>
          <w:lang w:val="fr-FR"/>
        </w:rPr>
      </w:pPr>
    </w:p>
    <w:p w14:paraId="484B8680" w14:textId="74C06F30" w:rsidR="00746BD1" w:rsidRPr="00830E36" w:rsidRDefault="00B577DB">
      <w:pPr>
        <w:rPr>
          <w:lang w:val="fr-FR"/>
        </w:rPr>
      </w:pPr>
      <w:r w:rsidRPr="00830E36">
        <w:rPr>
          <w:lang w:val="fr-FR"/>
        </w:rPr>
        <w:t xml:space="preserve">La COI doit fournir le système et prendre en charge certains coûts, assurer la maintenance, gérer la base de données, soutenir le renforcement des capacités, etc. </w:t>
      </w:r>
    </w:p>
    <w:p w14:paraId="15767DC0" w14:textId="7DC2E538" w:rsidR="00746BD1" w:rsidRPr="00830E36" w:rsidRDefault="00746BD1">
      <w:pPr>
        <w:rPr>
          <w:lang w:val="fr-FR"/>
        </w:rPr>
      </w:pPr>
    </w:p>
    <w:p w14:paraId="38E09792" w14:textId="54F30B5B" w:rsidR="00746BD1" w:rsidRPr="00830E36" w:rsidRDefault="00B577DB">
      <w:pPr>
        <w:pStyle w:val="P68B1DB1-Normal2"/>
        <w:rPr>
          <w:lang w:val="fr-FR"/>
        </w:rPr>
      </w:pPr>
      <w:r w:rsidRPr="00830E36">
        <w:rPr>
          <w:lang w:val="fr-FR"/>
        </w:rPr>
        <w:t xml:space="preserve">A examiner : </w:t>
      </w:r>
    </w:p>
    <w:p w14:paraId="0B079214" w14:textId="3C7BD1F2" w:rsidR="00746BD1" w:rsidRPr="00830E36" w:rsidRDefault="00746BD1">
      <w:pPr>
        <w:rPr>
          <w:lang w:val="fr-FR"/>
        </w:rPr>
      </w:pPr>
    </w:p>
    <w:p w14:paraId="75321218" w14:textId="515D1E60" w:rsidR="00746BD1" w:rsidRPr="00830E36" w:rsidRDefault="00B577DB">
      <w:pPr>
        <w:pStyle w:val="ListParagraph"/>
        <w:numPr>
          <w:ilvl w:val="0"/>
          <w:numId w:val="14"/>
        </w:numPr>
        <w:ind w:left="360"/>
        <w:rPr>
          <w:lang w:val="fr-FR"/>
        </w:rPr>
      </w:pPr>
      <w:r w:rsidRPr="00830E36">
        <w:rPr>
          <w:lang w:val="fr-FR"/>
        </w:rPr>
        <w:t>Préciser s</w:t>
      </w:r>
      <w:r w:rsidR="00E963E5">
        <w:rPr>
          <w:lang w:val="fr-FR"/>
        </w:rPr>
        <w:t>’</w:t>
      </w:r>
      <w:r w:rsidRPr="00830E36">
        <w:rPr>
          <w:lang w:val="fr-FR"/>
        </w:rPr>
        <w:t>il n</w:t>
      </w:r>
      <w:r w:rsidR="00E963E5">
        <w:rPr>
          <w:lang w:val="fr-FR"/>
        </w:rPr>
        <w:t>’</w:t>
      </w:r>
      <w:r w:rsidRPr="00830E36">
        <w:rPr>
          <w:lang w:val="fr-FR"/>
        </w:rPr>
        <w:t>y a pas de coût supplémentaire pour les « Parties »</w:t>
      </w:r>
      <w:r w:rsidR="00830E36">
        <w:rPr>
          <w:lang w:val="fr-FR"/>
        </w:rPr>
        <w:t xml:space="preserve"> </w:t>
      </w:r>
      <w:r w:rsidRPr="00830E36">
        <w:rPr>
          <w:lang w:val="fr-FR"/>
        </w:rPr>
        <w:t>ou les « États participants ».</w:t>
      </w:r>
    </w:p>
    <w:p w14:paraId="0B76CCD5" w14:textId="679CCCD6" w:rsidR="00746BD1" w:rsidRPr="00830E36" w:rsidRDefault="00746BD1">
      <w:pPr>
        <w:rPr>
          <w:lang w:val="fr-FR"/>
        </w:rPr>
      </w:pPr>
    </w:p>
    <w:p w14:paraId="7227271B" w14:textId="042BB1BB" w:rsidR="00746BD1" w:rsidRPr="00830E36" w:rsidRDefault="00B577DB">
      <w:pPr>
        <w:pStyle w:val="ListParagraph"/>
        <w:numPr>
          <w:ilvl w:val="0"/>
          <w:numId w:val="14"/>
        </w:numPr>
        <w:ind w:left="360"/>
        <w:rPr>
          <w:lang w:val="fr-FR"/>
        </w:rPr>
      </w:pPr>
      <w:r w:rsidRPr="00830E36">
        <w:rPr>
          <w:lang w:val="fr-FR"/>
        </w:rPr>
        <w:t>La COI n</w:t>
      </w:r>
      <w:r w:rsidR="00E963E5">
        <w:rPr>
          <w:lang w:val="fr-FR"/>
        </w:rPr>
        <w:t>’</w:t>
      </w:r>
      <w:r w:rsidRPr="00830E36">
        <w:rPr>
          <w:lang w:val="fr-FR"/>
        </w:rPr>
        <w:t>est pas partie à cet accord, il convient donc de le réviser. Si la COI doit fournir des services de secrétariat pour le système, cela devrait être indiqué. Ceci est un peu différent d</w:t>
      </w:r>
      <w:r w:rsidR="00E963E5">
        <w:rPr>
          <w:lang w:val="fr-FR"/>
        </w:rPr>
        <w:t>’</w:t>
      </w:r>
      <w:r w:rsidRPr="00830E36">
        <w:rPr>
          <w:lang w:val="fr-FR"/>
        </w:rPr>
        <w:t>être réellement le Secrétariat. Une décision doit être prise sur les dispositions institutionnelles à cet égard.</w:t>
      </w:r>
    </w:p>
    <w:p w14:paraId="28923880" w14:textId="0C8E5C72" w:rsidR="00746BD1" w:rsidRPr="00830E36" w:rsidRDefault="00746BD1">
      <w:pPr>
        <w:rPr>
          <w:lang w:val="fr-FR"/>
        </w:rPr>
      </w:pPr>
    </w:p>
    <w:p w14:paraId="4C7D4200" w14:textId="1CBD2BC8" w:rsidR="00746BD1" w:rsidRPr="00830E36" w:rsidRDefault="00B577DB">
      <w:pPr>
        <w:pStyle w:val="ListParagraph"/>
        <w:numPr>
          <w:ilvl w:val="0"/>
          <w:numId w:val="14"/>
        </w:numPr>
        <w:ind w:left="360"/>
        <w:rPr>
          <w:lang w:val="fr-FR"/>
        </w:rPr>
      </w:pPr>
      <w:r w:rsidRPr="00830E36">
        <w:rPr>
          <w:lang w:val="fr-FR"/>
        </w:rPr>
        <w:t>Il faudrait envisager d</w:t>
      </w:r>
      <w:r w:rsidR="00E963E5">
        <w:rPr>
          <w:lang w:val="fr-FR"/>
        </w:rPr>
        <w:t>’</w:t>
      </w:r>
      <w:r w:rsidRPr="00830E36">
        <w:rPr>
          <w:lang w:val="fr-FR"/>
        </w:rPr>
        <w:t>élargir le rôle du Secrétariat.</w:t>
      </w:r>
    </w:p>
    <w:p w14:paraId="25F6847B" w14:textId="7D4517F4" w:rsidR="00746BD1" w:rsidRPr="00830E36" w:rsidRDefault="00746BD1">
      <w:pPr>
        <w:rPr>
          <w:lang w:val="fr-FR"/>
        </w:rPr>
      </w:pPr>
    </w:p>
    <w:p w14:paraId="5EB4F176" w14:textId="0733689D" w:rsidR="00746BD1" w:rsidRPr="00830E36" w:rsidRDefault="00B577DB">
      <w:pPr>
        <w:pStyle w:val="ListParagraph"/>
        <w:numPr>
          <w:ilvl w:val="0"/>
          <w:numId w:val="14"/>
        </w:numPr>
        <w:ind w:left="360"/>
        <w:rPr>
          <w:lang w:val="fr-FR"/>
        </w:rPr>
      </w:pPr>
      <w:r w:rsidRPr="00830E36">
        <w:rPr>
          <w:lang w:val="fr-FR"/>
        </w:rPr>
        <w:t>La prise en charge du coût du HTTPS pour la sécurisation de l</w:t>
      </w:r>
      <w:r w:rsidR="00E963E5">
        <w:rPr>
          <w:lang w:val="fr-FR"/>
        </w:rPr>
        <w:t>’</w:t>
      </w:r>
      <w:r w:rsidRPr="00830E36">
        <w:rPr>
          <w:lang w:val="fr-FR"/>
        </w:rPr>
        <w:t>échange d</w:t>
      </w:r>
      <w:r w:rsidR="00E963E5">
        <w:rPr>
          <w:lang w:val="fr-FR"/>
        </w:rPr>
        <w:t>’</w:t>
      </w:r>
      <w:r w:rsidRPr="00830E36">
        <w:rPr>
          <w:lang w:val="fr-FR"/>
        </w:rPr>
        <w:t>informations et de données doit être détaillée (comme suggéré ci-dessus), éventuellement dans une annexe avec toutes les règles de protection et de sécurité des données.</w:t>
      </w:r>
    </w:p>
    <w:p w14:paraId="3FD09967" w14:textId="4099CE39" w:rsidR="00746BD1" w:rsidRPr="00830E36" w:rsidRDefault="00746BD1">
      <w:pPr>
        <w:rPr>
          <w:lang w:val="fr-FR"/>
        </w:rPr>
      </w:pPr>
    </w:p>
    <w:p w14:paraId="088353AE" w14:textId="77777777" w:rsidR="00746BD1" w:rsidRPr="00830E36" w:rsidRDefault="00B577DB">
      <w:pPr>
        <w:pStyle w:val="P68B1DB1-Normal1"/>
        <w:jc w:val="center"/>
        <w:rPr>
          <w:lang w:val="fr-FR"/>
        </w:rPr>
      </w:pPr>
      <w:r w:rsidRPr="00830E36">
        <w:rPr>
          <w:lang w:val="fr-FR"/>
        </w:rPr>
        <w:t>Article 14</w:t>
      </w:r>
    </w:p>
    <w:p w14:paraId="312DF1CF" w14:textId="3E2F3AFF" w:rsidR="00746BD1" w:rsidRPr="00830E36" w:rsidRDefault="00B577DB">
      <w:pPr>
        <w:pStyle w:val="P68B1DB1-Normal1"/>
        <w:jc w:val="center"/>
        <w:rPr>
          <w:lang w:val="fr-FR"/>
        </w:rPr>
      </w:pPr>
      <w:r w:rsidRPr="00830E36">
        <w:rPr>
          <w:lang w:val="fr-FR"/>
        </w:rPr>
        <w:t>Signature et adhésion</w:t>
      </w:r>
    </w:p>
    <w:p w14:paraId="147F7357" w14:textId="787899BB" w:rsidR="00746BD1" w:rsidRPr="00830E36" w:rsidRDefault="00746BD1">
      <w:pPr>
        <w:rPr>
          <w:lang w:val="fr-FR"/>
        </w:rPr>
      </w:pPr>
    </w:p>
    <w:p w14:paraId="45AEA5ED" w14:textId="22295EDF" w:rsidR="00746BD1" w:rsidRPr="00830E36" w:rsidRDefault="00B577DB">
      <w:pPr>
        <w:rPr>
          <w:lang w:val="fr-FR"/>
        </w:rPr>
      </w:pPr>
      <w:r w:rsidRPr="00830E36">
        <w:rPr>
          <w:lang w:val="fr-FR"/>
        </w:rPr>
        <w:lastRenderedPageBreak/>
        <w:t>Cela renvoie à l</w:t>
      </w:r>
      <w:r w:rsidR="00E963E5">
        <w:rPr>
          <w:lang w:val="fr-FR"/>
        </w:rPr>
        <w:t>’</w:t>
      </w:r>
      <w:r w:rsidRPr="00830E36">
        <w:rPr>
          <w:lang w:val="fr-FR"/>
        </w:rPr>
        <w:t>article 4, qui définit l</w:t>
      </w:r>
      <w:r w:rsidR="00E963E5">
        <w:rPr>
          <w:lang w:val="fr-FR"/>
        </w:rPr>
        <w:t>’</w:t>
      </w:r>
      <w:r w:rsidRPr="00830E36">
        <w:rPr>
          <w:lang w:val="fr-FR"/>
        </w:rPr>
        <w:t>éligibilité à la signature et à l</w:t>
      </w:r>
      <w:r w:rsidR="00E963E5">
        <w:rPr>
          <w:lang w:val="fr-FR"/>
        </w:rPr>
        <w:t>’</w:t>
      </w:r>
      <w:r w:rsidRPr="00830E36">
        <w:rPr>
          <w:lang w:val="fr-FR"/>
        </w:rPr>
        <w:t>adhésion et prévoit le processus. Il exige des informations détaillées de la part des États qui souhaitent adhérer.</w:t>
      </w:r>
    </w:p>
    <w:p w14:paraId="5FFFBBDA" w14:textId="70C26441" w:rsidR="00746BD1" w:rsidRPr="00830E36" w:rsidRDefault="00746BD1">
      <w:pPr>
        <w:rPr>
          <w:lang w:val="fr-FR"/>
        </w:rPr>
      </w:pPr>
    </w:p>
    <w:p w14:paraId="6C8D0573" w14:textId="0094F9FF" w:rsidR="00746BD1" w:rsidRPr="00830E36" w:rsidRDefault="00B577DB">
      <w:pPr>
        <w:rPr>
          <w:lang w:val="fr-FR"/>
        </w:rPr>
      </w:pPr>
      <w:r w:rsidRPr="00830E36">
        <w:rPr>
          <w:lang w:val="fr-FR"/>
        </w:rPr>
        <w:t>Il n</w:t>
      </w:r>
      <w:r w:rsidR="00E963E5">
        <w:rPr>
          <w:lang w:val="fr-FR"/>
        </w:rPr>
        <w:t>’</w:t>
      </w:r>
      <w:r w:rsidRPr="00830E36">
        <w:rPr>
          <w:lang w:val="fr-FR"/>
        </w:rPr>
        <w:t>inclut pas les organisations régionales ou internationales, car il est normal que des accords de partenariat coopératif distincts soient conclus avec elles pour la mise en œuvre de l</w:t>
      </w:r>
      <w:r w:rsidR="00E963E5">
        <w:rPr>
          <w:lang w:val="fr-FR"/>
        </w:rPr>
        <w:t>’</w:t>
      </w:r>
      <w:r w:rsidRPr="00830E36">
        <w:rPr>
          <w:lang w:val="fr-FR"/>
        </w:rPr>
        <w:t>accord, comme le prévoit l</w:t>
      </w:r>
      <w:r w:rsidR="00E963E5">
        <w:rPr>
          <w:lang w:val="fr-FR"/>
        </w:rPr>
        <w:t>’</w:t>
      </w:r>
      <w:r w:rsidRPr="00830E36">
        <w:rPr>
          <w:lang w:val="fr-FR"/>
        </w:rPr>
        <w:t xml:space="preserve">article 4. </w:t>
      </w:r>
    </w:p>
    <w:p w14:paraId="002F9BE5" w14:textId="3D7C4368" w:rsidR="00746BD1" w:rsidRPr="00830E36" w:rsidRDefault="00746BD1">
      <w:pPr>
        <w:rPr>
          <w:lang w:val="fr-FR"/>
        </w:rPr>
      </w:pPr>
    </w:p>
    <w:p w14:paraId="6332D4DB" w14:textId="18957BD6" w:rsidR="00746BD1" w:rsidRPr="00830E36" w:rsidRDefault="00B577DB">
      <w:pPr>
        <w:rPr>
          <w:lang w:val="fr-FR"/>
        </w:rPr>
      </w:pPr>
      <w:r w:rsidRPr="00830E36">
        <w:rPr>
          <w:b/>
          <w:i/>
          <w:lang w:val="fr-FR"/>
        </w:rPr>
        <w:t>A</w:t>
      </w:r>
      <w:r w:rsidR="00830E36">
        <w:rPr>
          <w:b/>
          <w:i/>
          <w:lang w:val="fr-FR"/>
        </w:rPr>
        <w:t xml:space="preserve"> examiner :</w:t>
      </w:r>
    </w:p>
    <w:p w14:paraId="73081712" w14:textId="77777777" w:rsidR="00746BD1" w:rsidRPr="00830E36" w:rsidRDefault="00746BD1">
      <w:pPr>
        <w:rPr>
          <w:lang w:val="fr-FR"/>
        </w:rPr>
      </w:pPr>
    </w:p>
    <w:p w14:paraId="690BCD98" w14:textId="415E0120" w:rsidR="00746BD1" w:rsidRPr="00830E36" w:rsidRDefault="00B577DB">
      <w:pPr>
        <w:rPr>
          <w:lang w:val="fr-FR"/>
        </w:rPr>
      </w:pPr>
      <w:r w:rsidRPr="00830E36">
        <w:rPr>
          <w:lang w:val="fr-FR"/>
        </w:rPr>
        <w:t>Il pourrait être utile d</w:t>
      </w:r>
      <w:r w:rsidR="00E963E5">
        <w:rPr>
          <w:lang w:val="fr-FR"/>
        </w:rPr>
        <w:t>’</w:t>
      </w:r>
      <w:r w:rsidRPr="00830E36">
        <w:rPr>
          <w:lang w:val="fr-FR"/>
        </w:rPr>
        <w:t>envisager de regrouper les articles 4 et 13 en un seul article pour assurer la cohérence et la pleine compréhension.</w:t>
      </w:r>
    </w:p>
    <w:p w14:paraId="04DB357C" w14:textId="29DBF68E" w:rsidR="00746BD1" w:rsidRPr="00830E36" w:rsidRDefault="00746BD1">
      <w:pPr>
        <w:rPr>
          <w:lang w:val="fr-FR"/>
        </w:rPr>
      </w:pPr>
    </w:p>
    <w:p w14:paraId="6E3FC365" w14:textId="77777777" w:rsidR="00746BD1" w:rsidRPr="00830E36" w:rsidRDefault="00B577DB">
      <w:pPr>
        <w:pStyle w:val="P68B1DB1-Normal1"/>
        <w:rPr>
          <w:lang w:val="fr-FR"/>
        </w:rPr>
      </w:pPr>
      <w:r w:rsidRPr="00830E36">
        <w:rPr>
          <w:lang w:val="fr-FR"/>
        </w:rPr>
        <w:t>Article 15</w:t>
      </w:r>
    </w:p>
    <w:p w14:paraId="1F37DD33" w14:textId="77777777" w:rsidR="00746BD1" w:rsidRPr="00830E36" w:rsidRDefault="00B577DB">
      <w:pPr>
        <w:pStyle w:val="P68B1DB1-Normal1"/>
        <w:rPr>
          <w:lang w:val="fr-FR"/>
        </w:rPr>
      </w:pPr>
      <w:r w:rsidRPr="00830E36">
        <w:rPr>
          <w:lang w:val="fr-FR"/>
        </w:rPr>
        <w:t xml:space="preserve">Entrée en vigueur et résiliation consécutive </w:t>
      </w:r>
    </w:p>
    <w:p w14:paraId="768E68DE" w14:textId="77777777" w:rsidR="00746BD1" w:rsidRPr="00830E36" w:rsidRDefault="00746BD1">
      <w:pPr>
        <w:rPr>
          <w:lang w:val="fr-FR"/>
        </w:rPr>
      </w:pPr>
    </w:p>
    <w:p w14:paraId="4C6A4DE9" w14:textId="05BB2739" w:rsidR="00746BD1" w:rsidRPr="00830E36" w:rsidRDefault="00B577DB">
      <w:pPr>
        <w:rPr>
          <w:lang w:val="fr-FR"/>
        </w:rPr>
      </w:pPr>
      <w:r w:rsidRPr="00830E36">
        <w:rPr>
          <w:lang w:val="fr-FR"/>
        </w:rPr>
        <w:t>L</w:t>
      </w:r>
      <w:r w:rsidR="00E963E5">
        <w:rPr>
          <w:lang w:val="fr-FR"/>
        </w:rPr>
        <w:t>’</w:t>
      </w:r>
      <w:r w:rsidRPr="00830E36">
        <w:rPr>
          <w:lang w:val="fr-FR"/>
        </w:rPr>
        <w:t>Accord entre en vigueur lorsqu</w:t>
      </w:r>
      <w:r w:rsidR="00E963E5">
        <w:rPr>
          <w:lang w:val="fr-FR"/>
        </w:rPr>
        <w:t>’</w:t>
      </w:r>
      <w:r w:rsidRPr="00830E36">
        <w:rPr>
          <w:lang w:val="fr-FR"/>
        </w:rPr>
        <w:t>il est signé par un certain nombre d</w:t>
      </w:r>
      <w:r w:rsidR="00E963E5">
        <w:rPr>
          <w:lang w:val="fr-FR"/>
        </w:rPr>
        <w:t>’</w:t>
      </w:r>
      <w:r w:rsidRPr="00830E36">
        <w:rPr>
          <w:lang w:val="fr-FR"/>
        </w:rPr>
        <w:t xml:space="preserve">États. </w:t>
      </w:r>
    </w:p>
    <w:p w14:paraId="79B54303" w14:textId="39D8B1CB" w:rsidR="00746BD1" w:rsidRPr="00830E36" w:rsidRDefault="00746BD1">
      <w:pPr>
        <w:rPr>
          <w:lang w:val="fr-FR"/>
        </w:rPr>
      </w:pPr>
    </w:p>
    <w:p w14:paraId="49297B35" w14:textId="0ED18DDD" w:rsidR="00746BD1" w:rsidRPr="00830E36" w:rsidRDefault="00B577DB">
      <w:pPr>
        <w:pStyle w:val="P68B1DB1-Normal4"/>
        <w:rPr>
          <w:lang w:val="fr-FR"/>
        </w:rPr>
      </w:pPr>
      <w:r w:rsidRPr="00830E36">
        <w:rPr>
          <w:b/>
          <w:lang w:val="fr-FR"/>
        </w:rPr>
        <w:t>A</w:t>
      </w:r>
      <w:r w:rsidR="00830E36">
        <w:rPr>
          <w:b/>
          <w:lang w:val="fr-FR"/>
        </w:rPr>
        <w:t xml:space="preserve"> examiner :</w:t>
      </w:r>
    </w:p>
    <w:p w14:paraId="6CDA3D54" w14:textId="0B6FBB9A" w:rsidR="00746BD1" w:rsidRPr="00830E36" w:rsidRDefault="00746BD1">
      <w:pPr>
        <w:rPr>
          <w:lang w:val="fr-FR"/>
        </w:rPr>
      </w:pPr>
    </w:p>
    <w:p w14:paraId="37A43332" w14:textId="620062AB" w:rsidR="00746BD1" w:rsidRPr="00830E36" w:rsidRDefault="00B577DB">
      <w:pPr>
        <w:rPr>
          <w:lang w:val="fr-FR"/>
        </w:rPr>
      </w:pPr>
      <w:r w:rsidRPr="00830E36">
        <w:rPr>
          <w:lang w:val="fr-FR"/>
        </w:rPr>
        <w:t>Il faut décider combien d</w:t>
      </w:r>
      <w:r w:rsidR="00E963E5">
        <w:rPr>
          <w:lang w:val="fr-FR"/>
        </w:rPr>
        <w:t>’</w:t>
      </w:r>
      <w:r w:rsidRPr="00830E36">
        <w:rPr>
          <w:lang w:val="fr-FR"/>
        </w:rPr>
        <w:t>États doivent signer l</w:t>
      </w:r>
      <w:r w:rsidR="00E963E5">
        <w:rPr>
          <w:lang w:val="fr-FR"/>
        </w:rPr>
        <w:t>’</w:t>
      </w:r>
      <w:r w:rsidRPr="00830E36">
        <w:rPr>
          <w:lang w:val="fr-FR"/>
        </w:rPr>
        <w:t>Accord pour qu</w:t>
      </w:r>
      <w:r w:rsidR="00E963E5">
        <w:rPr>
          <w:lang w:val="fr-FR"/>
        </w:rPr>
        <w:t>’</w:t>
      </w:r>
      <w:r w:rsidRPr="00830E36">
        <w:rPr>
          <w:lang w:val="fr-FR"/>
        </w:rPr>
        <w:t>il entre en vigueur.</w:t>
      </w:r>
    </w:p>
    <w:p w14:paraId="7EA7BDD0" w14:textId="77777777" w:rsidR="00746BD1" w:rsidRPr="00830E36" w:rsidRDefault="00746BD1">
      <w:pPr>
        <w:rPr>
          <w:b/>
          <w:lang w:val="fr-FR"/>
        </w:rPr>
      </w:pPr>
    </w:p>
    <w:p w14:paraId="2EB721BE" w14:textId="4296539C" w:rsidR="00746BD1" w:rsidRPr="00830E36" w:rsidRDefault="00746BD1">
      <w:pPr>
        <w:rPr>
          <w:lang w:val="fr-FR"/>
        </w:rPr>
      </w:pPr>
    </w:p>
    <w:p w14:paraId="4F98FA44" w14:textId="77777777" w:rsidR="00746BD1" w:rsidRPr="00830E36" w:rsidRDefault="00B577DB">
      <w:pPr>
        <w:pStyle w:val="P68B1DB1-Normal1"/>
        <w:jc w:val="center"/>
        <w:rPr>
          <w:lang w:val="fr-FR"/>
        </w:rPr>
      </w:pPr>
      <w:r w:rsidRPr="00830E36">
        <w:rPr>
          <w:lang w:val="fr-FR"/>
        </w:rPr>
        <w:t>Article 16</w:t>
      </w:r>
    </w:p>
    <w:p w14:paraId="3AC5D50D" w14:textId="55D963B8" w:rsidR="00746BD1" w:rsidRPr="00830E36" w:rsidRDefault="003A3E40">
      <w:pPr>
        <w:pStyle w:val="P68B1DB1-Normal1"/>
        <w:jc w:val="center"/>
        <w:rPr>
          <w:lang w:val="fr-FR"/>
        </w:rPr>
      </w:pPr>
      <w:r>
        <w:rPr>
          <w:lang w:val="fr-FR"/>
        </w:rPr>
        <w:t>Modifications</w:t>
      </w:r>
    </w:p>
    <w:p w14:paraId="06B62228" w14:textId="1BE660B1" w:rsidR="00746BD1" w:rsidRPr="00830E36" w:rsidRDefault="00746BD1">
      <w:pPr>
        <w:rPr>
          <w:b/>
          <w:lang w:val="fr-FR"/>
        </w:rPr>
      </w:pPr>
    </w:p>
    <w:p w14:paraId="70181AD3" w14:textId="69B78EAA" w:rsidR="00746BD1" w:rsidRPr="00830E36" w:rsidRDefault="00B577DB">
      <w:pPr>
        <w:rPr>
          <w:lang w:val="fr-FR"/>
        </w:rPr>
      </w:pPr>
      <w:r w:rsidRPr="00830E36">
        <w:rPr>
          <w:lang w:val="fr-FR"/>
        </w:rPr>
        <w:t>Le processus de proposition d</w:t>
      </w:r>
      <w:r w:rsidR="00E963E5">
        <w:rPr>
          <w:lang w:val="fr-FR"/>
        </w:rPr>
        <w:t>’</w:t>
      </w:r>
      <w:r w:rsidRPr="00830E36">
        <w:rPr>
          <w:lang w:val="fr-FR"/>
        </w:rPr>
        <w:t>amendements est décrit et implique l</w:t>
      </w:r>
      <w:r w:rsidR="00E963E5">
        <w:rPr>
          <w:lang w:val="fr-FR"/>
        </w:rPr>
        <w:t>’</w:t>
      </w:r>
      <w:r w:rsidRPr="00830E36">
        <w:rPr>
          <w:lang w:val="fr-FR"/>
        </w:rPr>
        <w:t>acceptation par toutes les parties.</w:t>
      </w:r>
    </w:p>
    <w:p w14:paraId="65B6FAD9" w14:textId="37C24C2C" w:rsidR="00746BD1" w:rsidRPr="00830E36" w:rsidRDefault="00746BD1">
      <w:pPr>
        <w:rPr>
          <w:lang w:val="fr-FR"/>
        </w:rPr>
      </w:pPr>
    </w:p>
    <w:p w14:paraId="6450EBB6" w14:textId="77777777" w:rsidR="00746BD1" w:rsidRPr="00830E36" w:rsidRDefault="00B577DB">
      <w:pPr>
        <w:pStyle w:val="P68B1DB1-Normal1"/>
        <w:jc w:val="center"/>
        <w:rPr>
          <w:lang w:val="fr-FR"/>
        </w:rPr>
      </w:pPr>
      <w:r w:rsidRPr="00830E36">
        <w:rPr>
          <w:lang w:val="fr-FR"/>
        </w:rPr>
        <w:t>Article 17</w:t>
      </w:r>
    </w:p>
    <w:p w14:paraId="33F0F8B2" w14:textId="0F6F93B7" w:rsidR="00746BD1" w:rsidRPr="00830E36" w:rsidRDefault="00B577DB">
      <w:pPr>
        <w:pStyle w:val="P68B1DB1-Normal1"/>
        <w:jc w:val="center"/>
        <w:rPr>
          <w:lang w:val="fr-FR"/>
        </w:rPr>
      </w:pPr>
      <w:r w:rsidRPr="00830E36">
        <w:rPr>
          <w:lang w:val="fr-FR"/>
        </w:rPr>
        <w:t>Interprétation</w:t>
      </w:r>
    </w:p>
    <w:p w14:paraId="33737665" w14:textId="6F91CA32" w:rsidR="00746BD1" w:rsidRPr="00830E36" w:rsidRDefault="00746BD1">
      <w:pPr>
        <w:rPr>
          <w:lang w:val="fr-FR"/>
        </w:rPr>
      </w:pPr>
    </w:p>
    <w:p w14:paraId="4706C145" w14:textId="250AA28F" w:rsidR="00746BD1" w:rsidRPr="00830E36" w:rsidRDefault="00B577DB">
      <w:pPr>
        <w:rPr>
          <w:lang w:val="fr-FR"/>
        </w:rPr>
      </w:pPr>
      <w:r w:rsidRPr="00830E36">
        <w:rPr>
          <w:lang w:val="fr-FR"/>
        </w:rPr>
        <w:t>En cas de différend sur l</w:t>
      </w:r>
      <w:r w:rsidR="00E963E5">
        <w:rPr>
          <w:lang w:val="fr-FR"/>
        </w:rPr>
        <w:t>’</w:t>
      </w:r>
      <w:r w:rsidRPr="00830E36">
        <w:rPr>
          <w:lang w:val="fr-FR"/>
        </w:rPr>
        <w:t>interprétation de la mise en œuvre, les Parties doivent se consulter pour régler le différend par des moyens pacifiques.</w:t>
      </w:r>
    </w:p>
    <w:p w14:paraId="62FAF4E9" w14:textId="50926853" w:rsidR="00746BD1" w:rsidRPr="00830E36" w:rsidRDefault="00746BD1">
      <w:pPr>
        <w:rPr>
          <w:lang w:val="fr-FR"/>
        </w:rPr>
      </w:pPr>
    </w:p>
    <w:p w14:paraId="0152965B" w14:textId="77777777" w:rsidR="00746BD1" w:rsidRPr="00830E36" w:rsidRDefault="00B577DB">
      <w:pPr>
        <w:pStyle w:val="P68B1DB1-Normal1"/>
        <w:jc w:val="center"/>
        <w:rPr>
          <w:lang w:val="fr-FR"/>
        </w:rPr>
      </w:pPr>
      <w:r w:rsidRPr="00830E36">
        <w:rPr>
          <w:lang w:val="fr-FR"/>
        </w:rPr>
        <w:t>Article 18</w:t>
      </w:r>
    </w:p>
    <w:p w14:paraId="585ECE3D" w14:textId="77777777" w:rsidR="00746BD1" w:rsidRPr="00830E36" w:rsidRDefault="00B577DB">
      <w:pPr>
        <w:pStyle w:val="P68B1DB1-Normal1"/>
        <w:jc w:val="center"/>
        <w:rPr>
          <w:lang w:val="fr-FR"/>
        </w:rPr>
      </w:pPr>
      <w:r w:rsidRPr="00830E36">
        <w:rPr>
          <w:lang w:val="fr-FR"/>
        </w:rPr>
        <w:t>Conformité et mise en œuvre effective</w:t>
      </w:r>
    </w:p>
    <w:p w14:paraId="1BB912F8" w14:textId="79B10568" w:rsidR="00746BD1" w:rsidRPr="00830E36" w:rsidRDefault="00B577DB">
      <w:pPr>
        <w:rPr>
          <w:lang w:val="fr-FR"/>
        </w:rPr>
      </w:pPr>
      <w:r w:rsidRPr="00830E36">
        <w:rPr>
          <w:lang w:val="fr-FR"/>
        </w:rPr>
        <w:t xml:space="preserve"> </w:t>
      </w:r>
    </w:p>
    <w:p w14:paraId="17295DE2" w14:textId="273997AE" w:rsidR="00746BD1" w:rsidRPr="00830E36" w:rsidRDefault="00B577DB">
      <w:pPr>
        <w:rPr>
          <w:lang w:val="fr-FR"/>
        </w:rPr>
      </w:pPr>
      <w:r w:rsidRPr="00830E36">
        <w:rPr>
          <w:lang w:val="fr-FR"/>
        </w:rPr>
        <w:t>Les Parties doivent prendre des mesures proportionnées à leurs ressources pour se conformer et assurer le respect des dispositions.</w:t>
      </w:r>
    </w:p>
    <w:p w14:paraId="677CB803" w14:textId="36AC4812" w:rsidR="00746BD1" w:rsidRPr="00830E36" w:rsidRDefault="00746BD1">
      <w:pPr>
        <w:rPr>
          <w:lang w:val="fr-FR"/>
        </w:rPr>
      </w:pPr>
    </w:p>
    <w:p w14:paraId="4BB65239" w14:textId="77777777" w:rsidR="00746BD1" w:rsidRPr="00830E36" w:rsidRDefault="00B577DB">
      <w:pPr>
        <w:pStyle w:val="P68B1DB1-Normal1"/>
        <w:jc w:val="center"/>
        <w:rPr>
          <w:lang w:val="fr-FR"/>
        </w:rPr>
      </w:pPr>
      <w:r w:rsidRPr="00830E36">
        <w:rPr>
          <w:lang w:val="fr-FR"/>
        </w:rPr>
        <w:t>Article 19</w:t>
      </w:r>
    </w:p>
    <w:p w14:paraId="0A55B37C" w14:textId="51D4B3C1" w:rsidR="00746BD1" w:rsidRPr="00830E36" w:rsidRDefault="00B577DB">
      <w:pPr>
        <w:pStyle w:val="P68B1DB1-Normal1"/>
        <w:jc w:val="center"/>
        <w:rPr>
          <w:lang w:val="fr-FR"/>
        </w:rPr>
      </w:pPr>
      <w:r w:rsidRPr="00830E36">
        <w:rPr>
          <w:lang w:val="fr-FR"/>
        </w:rPr>
        <w:t>19.</w:t>
      </w:r>
      <w:r w:rsidR="00830E36">
        <w:rPr>
          <w:lang w:val="fr-FR"/>
        </w:rPr>
        <w:t xml:space="preserve"> </w:t>
      </w:r>
      <w:r w:rsidRPr="00830E36">
        <w:rPr>
          <w:lang w:val="fr-FR"/>
        </w:rPr>
        <w:t>Retrait et suspension</w:t>
      </w:r>
    </w:p>
    <w:p w14:paraId="698AB55F" w14:textId="095CF33A" w:rsidR="00746BD1" w:rsidRPr="00830E36" w:rsidRDefault="00746BD1">
      <w:pPr>
        <w:rPr>
          <w:b/>
          <w:lang w:val="fr-FR"/>
        </w:rPr>
      </w:pPr>
    </w:p>
    <w:p w14:paraId="51AF0E21" w14:textId="56C37A98" w:rsidR="00746BD1" w:rsidRPr="00830E36" w:rsidRDefault="00B577DB">
      <w:pPr>
        <w:rPr>
          <w:lang w:val="fr-FR"/>
        </w:rPr>
      </w:pPr>
      <w:r w:rsidRPr="00830E36">
        <w:rPr>
          <w:lang w:val="fr-FR"/>
        </w:rPr>
        <w:t>Il y a de nombreuses lacunes et ambiguïtés dans ce projet d</w:t>
      </w:r>
      <w:r w:rsidR="00E963E5">
        <w:rPr>
          <w:lang w:val="fr-FR"/>
        </w:rPr>
        <w:t>’</w:t>
      </w:r>
      <w:r w:rsidRPr="00830E36">
        <w:rPr>
          <w:lang w:val="fr-FR"/>
        </w:rPr>
        <w:t>article.</w:t>
      </w:r>
    </w:p>
    <w:p w14:paraId="69A3E720" w14:textId="77777777" w:rsidR="00746BD1" w:rsidRPr="00830E36" w:rsidRDefault="00746BD1">
      <w:pPr>
        <w:rPr>
          <w:lang w:val="fr-FR"/>
        </w:rPr>
      </w:pPr>
    </w:p>
    <w:p w14:paraId="263BCE88" w14:textId="7F821138" w:rsidR="00746BD1" w:rsidRPr="00830E36" w:rsidRDefault="00B577DB">
      <w:pPr>
        <w:rPr>
          <w:lang w:val="fr-FR"/>
        </w:rPr>
      </w:pPr>
      <w:r w:rsidRPr="00830E36">
        <w:rPr>
          <w:lang w:val="fr-FR"/>
        </w:rPr>
        <w:t>Les parties doivent être immédiatement informées par écrit de tout manquement à mettre en œuvre l</w:t>
      </w:r>
      <w:r w:rsidR="00E963E5">
        <w:rPr>
          <w:lang w:val="fr-FR"/>
        </w:rPr>
        <w:t>’</w:t>
      </w:r>
      <w:r w:rsidRPr="00830E36">
        <w:rPr>
          <w:lang w:val="fr-FR"/>
        </w:rPr>
        <w:t>Accord et l</w:t>
      </w:r>
      <w:r w:rsidR="00E963E5">
        <w:rPr>
          <w:lang w:val="fr-FR"/>
        </w:rPr>
        <w:t>’</w:t>
      </w:r>
      <w:r w:rsidRPr="00830E36">
        <w:rPr>
          <w:lang w:val="fr-FR"/>
        </w:rPr>
        <w:t>Accord peut être suspendu en cas de violation</w:t>
      </w:r>
      <w:r w:rsidR="00830E36">
        <w:rPr>
          <w:lang w:val="fr-FR"/>
        </w:rPr>
        <w:t xml:space="preserve"> </w:t>
      </w:r>
      <w:r w:rsidRPr="00830E36">
        <w:rPr>
          <w:lang w:val="fr-FR"/>
        </w:rPr>
        <w:t>(mais il n</w:t>
      </w:r>
      <w:r w:rsidR="00E963E5">
        <w:rPr>
          <w:lang w:val="fr-FR"/>
        </w:rPr>
        <w:t>’</w:t>
      </w:r>
      <w:r w:rsidRPr="00830E36">
        <w:rPr>
          <w:lang w:val="fr-FR"/>
        </w:rPr>
        <w:t>est pas clair s</w:t>
      </w:r>
      <w:r w:rsidR="00E963E5">
        <w:rPr>
          <w:lang w:val="fr-FR"/>
        </w:rPr>
        <w:t>’</w:t>
      </w:r>
      <w:r w:rsidRPr="00830E36">
        <w:rPr>
          <w:lang w:val="fr-FR"/>
        </w:rPr>
        <w:t>il est suspendu entre toutes les parties ou seulement entre celles qui n</w:t>
      </w:r>
      <w:r w:rsidR="00E963E5">
        <w:rPr>
          <w:lang w:val="fr-FR"/>
        </w:rPr>
        <w:t>’</w:t>
      </w:r>
      <w:r w:rsidRPr="00830E36">
        <w:rPr>
          <w:lang w:val="fr-FR"/>
        </w:rPr>
        <w:t>ont pas mis en œuvre l</w:t>
      </w:r>
      <w:r w:rsidR="00E963E5">
        <w:rPr>
          <w:lang w:val="fr-FR"/>
        </w:rPr>
        <w:t>’</w:t>
      </w:r>
      <w:r w:rsidRPr="00830E36">
        <w:rPr>
          <w:lang w:val="fr-FR"/>
        </w:rPr>
        <w:t>Accord ou les deux).</w:t>
      </w:r>
    </w:p>
    <w:p w14:paraId="3FC7F428" w14:textId="77777777" w:rsidR="00746BD1" w:rsidRPr="00830E36" w:rsidRDefault="00746BD1">
      <w:pPr>
        <w:rPr>
          <w:lang w:val="fr-FR"/>
        </w:rPr>
      </w:pPr>
    </w:p>
    <w:p w14:paraId="1C125C7E" w14:textId="5DA80AC3" w:rsidR="00746BD1" w:rsidRPr="00830E36" w:rsidRDefault="00B577DB">
      <w:pPr>
        <w:rPr>
          <w:lang w:val="fr-FR"/>
        </w:rPr>
      </w:pPr>
      <w:r w:rsidRPr="00830E36">
        <w:rPr>
          <w:lang w:val="fr-FR"/>
        </w:rPr>
        <w:lastRenderedPageBreak/>
        <w:t>En cas de non règlement ou de violation signalée, l</w:t>
      </w:r>
      <w:r w:rsidR="00E963E5">
        <w:rPr>
          <w:lang w:val="fr-FR"/>
        </w:rPr>
        <w:t>’</w:t>
      </w:r>
      <w:r w:rsidRPr="00830E36">
        <w:rPr>
          <w:lang w:val="fr-FR"/>
        </w:rPr>
        <w:t>Accord peut être résilié (mais une partie ne peut pas résilier un accord. Une partie peut se retirer de l</w:t>
      </w:r>
      <w:r w:rsidR="00E963E5">
        <w:rPr>
          <w:lang w:val="fr-FR"/>
        </w:rPr>
        <w:t>’</w:t>
      </w:r>
      <w:r w:rsidRPr="00830E36">
        <w:rPr>
          <w:lang w:val="fr-FR"/>
        </w:rPr>
        <w:t>accord ou peut être résiliée, mais cela nécessiterait l</w:t>
      </w:r>
      <w:r w:rsidR="00E963E5">
        <w:rPr>
          <w:lang w:val="fr-FR"/>
        </w:rPr>
        <w:t>’</w:t>
      </w:r>
      <w:r w:rsidRPr="00830E36">
        <w:rPr>
          <w:lang w:val="fr-FR"/>
        </w:rPr>
        <w:t>accord d</w:t>
      </w:r>
      <w:r w:rsidR="00E963E5">
        <w:rPr>
          <w:lang w:val="fr-FR"/>
        </w:rPr>
        <w:t>’</w:t>
      </w:r>
      <w:r w:rsidRPr="00830E36">
        <w:rPr>
          <w:lang w:val="fr-FR"/>
        </w:rPr>
        <w:t>autres parties, ce qui n</w:t>
      </w:r>
      <w:r w:rsidR="00E963E5">
        <w:rPr>
          <w:lang w:val="fr-FR"/>
        </w:rPr>
        <w:t>’</w:t>
      </w:r>
      <w:r w:rsidRPr="00830E36">
        <w:rPr>
          <w:lang w:val="fr-FR"/>
        </w:rPr>
        <w:t>est pas stipulé. Ce n</w:t>
      </w:r>
      <w:r w:rsidR="00E963E5">
        <w:rPr>
          <w:lang w:val="fr-FR"/>
        </w:rPr>
        <w:t>’</w:t>
      </w:r>
      <w:r w:rsidRPr="00830E36">
        <w:rPr>
          <w:lang w:val="fr-FR"/>
        </w:rPr>
        <w:t>est du tout clair comme formulation).</w:t>
      </w:r>
    </w:p>
    <w:p w14:paraId="6073C9B8" w14:textId="550E7222" w:rsidR="00746BD1" w:rsidRPr="00830E36" w:rsidRDefault="00746BD1">
      <w:pPr>
        <w:rPr>
          <w:lang w:val="fr-FR"/>
        </w:rPr>
      </w:pPr>
    </w:p>
    <w:p w14:paraId="263D5779" w14:textId="47E8B7D0" w:rsidR="00746BD1" w:rsidRPr="00830E36" w:rsidRDefault="00B577DB">
      <w:pPr>
        <w:rPr>
          <w:lang w:val="fr-FR"/>
        </w:rPr>
      </w:pPr>
      <w:r w:rsidRPr="00830E36">
        <w:rPr>
          <w:lang w:val="fr-FR"/>
        </w:rPr>
        <w:t>Toute Partie peut se retirer de l</w:t>
      </w:r>
      <w:r w:rsidR="00E963E5">
        <w:rPr>
          <w:lang w:val="fr-FR"/>
        </w:rPr>
        <w:t>’</w:t>
      </w:r>
      <w:r w:rsidRPr="00830E36">
        <w:rPr>
          <w:lang w:val="fr-FR"/>
        </w:rPr>
        <w:t>Accord, 12 mois après réception de la notification de retrait par le Dépositaire.</w:t>
      </w:r>
    </w:p>
    <w:p w14:paraId="70692517" w14:textId="0CC0E5BC" w:rsidR="00746BD1" w:rsidRPr="00830E36" w:rsidRDefault="00746BD1">
      <w:pPr>
        <w:rPr>
          <w:lang w:val="fr-FR"/>
        </w:rPr>
      </w:pPr>
    </w:p>
    <w:p w14:paraId="5F3A12DE" w14:textId="7A4FB64C" w:rsidR="00746BD1" w:rsidRPr="00830E36" w:rsidRDefault="00B577DB">
      <w:pPr>
        <w:rPr>
          <w:lang w:val="fr-FR"/>
        </w:rPr>
      </w:pPr>
      <w:r w:rsidRPr="00830E36">
        <w:rPr>
          <w:lang w:val="fr-FR"/>
        </w:rPr>
        <w:t>L</w:t>
      </w:r>
      <w:r w:rsidR="00E963E5">
        <w:rPr>
          <w:lang w:val="fr-FR"/>
        </w:rPr>
        <w:t>’</w:t>
      </w:r>
      <w:r w:rsidRPr="00830E36">
        <w:rPr>
          <w:lang w:val="fr-FR"/>
        </w:rPr>
        <w:t>accord continuera de s</w:t>
      </w:r>
      <w:r w:rsidR="00E963E5">
        <w:rPr>
          <w:lang w:val="fr-FR"/>
        </w:rPr>
        <w:t>’</w:t>
      </w:r>
      <w:r w:rsidRPr="00830E36">
        <w:rPr>
          <w:lang w:val="fr-FR"/>
        </w:rPr>
        <w:t>appliquer après le retrait en ce qui concerne toute procédure administrative ou judiciaire découlant des mesures prises en vertu du présent accord concernant la partie qui se retire (mais il n</w:t>
      </w:r>
      <w:r w:rsidR="00E963E5">
        <w:rPr>
          <w:lang w:val="fr-FR"/>
        </w:rPr>
        <w:t>’</w:t>
      </w:r>
      <w:r w:rsidRPr="00830E36">
        <w:rPr>
          <w:lang w:val="fr-FR"/>
        </w:rPr>
        <w:t>est pas clair qu</w:t>
      </w:r>
      <w:r w:rsidR="00E963E5">
        <w:rPr>
          <w:lang w:val="fr-FR"/>
        </w:rPr>
        <w:t>’</w:t>
      </w:r>
      <w:r w:rsidRPr="00830E36">
        <w:rPr>
          <w:lang w:val="fr-FR"/>
        </w:rPr>
        <w:t>il continuera de s</w:t>
      </w:r>
      <w:r w:rsidR="00E963E5">
        <w:rPr>
          <w:lang w:val="fr-FR"/>
        </w:rPr>
        <w:t>’</w:t>
      </w:r>
      <w:r w:rsidRPr="00830E36">
        <w:rPr>
          <w:lang w:val="fr-FR"/>
        </w:rPr>
        <w:t>appliquer après l</w:t>
      </w:r>
      <w:r w:rsidR="00E963E5">
        <w:rPr>
          <w:lang w:val="fr-FR"/>
        </w:rPr>
        <w:t>’</w:t>
      </w:r>
      <w:r w:rsidRPr="00830E36">
        <w:rPr>
          <w:lang w:val="fr-FR"/>
        </w:rPr>
        <w:t xml:space="preserve">avis de retrait uniquement, et doit-il y avoir une procédure judiciaire ? </w:t>
      </w:r>
    </w:p>
    <w:p w14:paraId="108B42F6" w14:textId="49948E24" w:rsidR="00746BD1" w:rsidRPr="00830E36" w:rsidRDefault="00746BD1">
      <w:pPr>
        <w:rPr>
          <w:lang w:val="fr-FR"/>
        </w:rPr>
      </w:pPr>
    </w:p>
    <w:p w14:paraId="631DCC73" w14:textId="62047CC6" w:rsidR="00746BD1" w:rsidRPr="00830E36" w:rsidRDefault="00B577DB">
      <w:pPr>
        <w:rPr>
          <w:lang w:val="fr-FR"/>
        </w:rPr>
      </w:pPr>
      <w:r w:rsidRPr="00830E36">
        <w:rPr>
          <w:b/>
          <w:i/>
          <w:lang w:val="fr-FR"/>
        </w:rPr>
        <w:t>A</w:t>
      </w:r>
      <w:r w:rsidR="00830E36">
        <w:rPr>
          <w:b/>
          <w:i/>
          <w:lang w:val="fr-FR"/>
        </w:rPr>
        <w:t xml:space="preserve"> examiner :</w:t>
      </w:r>
    </w:p>
    <w:p w14:paraId="699AC8BD" w14:textId="7213E6C7" w:rsidR="00746BD1" w:rsidRPr="00830E36" w:rsidRDefault="00746BD1">
      <w:pPr>
        <w:rPr>
          <w:lang w:val="fr-FR"/>
        </w:rPr>
      </w:pPr>
    </w:p>
    <w:p w14:paraId="154AD10A" w14:textId="2AA21D6C" w:rsidR="00746BD1" w:rsidRPr="00830E36" w:rsidRDefault="00B577DB">
      <w:pPr>
        <w:rPr>
          <w:lang w:val="fr-FR"/>
        </w:rPr>
      </w:pPr>
      <w:r w:rsidRPr="00830E36">
        <w:rPr>
          <w:lang w:val="fr-FR"/>
        </w:rPr>
        <w:t xml:space="preserve">Il est suggéré de reformuler ce texte pour lever les ambiguïtés décrites ci-dessus. </w:t>
      </w:r>
    </w:p>
    <w:p w14:paraId="71743A33" w14:textId="77777777" w:rsidR="00746BD1" w:rsidRPr="00830E36" w:rsidRDefault="00746BD1">
      <w:pPr>
        <w:rPr>
          <w:lang w:val="fr-FR"/>
        </w:rPr>
      </w:pPr>
    </w:p>
    <w:p w14:paraId="043CE697" w14:textId="77777777" w:rsidR="00746BD1" w:rsidRPr="00830E36" w:rsidRDefault="00B577DB">
      <w:pPr>
        <w:pStyle w:val="P68B1DB1-Normal1"/>
        <w:jc w:val="center"/>
        <w:rPr>
          <w:lang w:val="fr-FR"/>
        </w:rPr>
      </w:pPr>
      <w:r w:rsidRPr="00830E36">
        <w:rPr>
          <w:lang w:val="fr-FR"/>
        </w:rPr>
        <w:t>Article 20</w:t>
      </w:r>
    </w:p>
    <w:p w14:paraId="2F66DA77" w14:textId="04EEBBB4" w:rsidR="00746BD1" w:rsidRPr="00830E36" w:rsidRDefault="00B577DB">
      <w:pPr>
        <w:pStyle w:val="P68B1DB1-Normal1"/>
        <w:jc w:val="center"/>
        <w:rPr>
          <w:lang w:val="fr-FR"/>
        </w:rPr>
      </w:pPr>
      <w:r w:rsidRPr="00830E36">
        <w:rPr>
          <w:lang w:val="fr-FR"/>
        </w:rPr>
        <w:t>Mesures de protection en cas de suspension</w:t>
      </w:r>
    </w:p>
    <w:p w14:paraId="55A38BAE" w14:textId="7E328140" w:rsidR="00746BD1" w:rsidRPr="00830E36" w:rsidRDefault="00746BD1">
      <w:pPr>
        <w:rPr>
          <w:lang w:val="fr-FR"/>
        </w:rPr>
      </w:pPr>
    </w:p>
    <w:p w14:paraId="488A857C" w14:textId="0D81A8B0" w:rsidR="00746BD1" w:rsidRPr="00830E36" w:rsidRDefault="00B577DB">
      <w:pPr>
        <w:rPr>
          <w:lang w:val="fr-FR"/>
        </w:rPr>
      </w:pPr>
      <w:r w:rsidRPr="00830E36">
        <w:rPr>
          <w:lang w:val="fr-FR"/>
        </w:rPr>
        <w:t>Toute partie qui dispose de preuves claires d</w:t>
      </w:r>
      <w:r w:rsidR="00E963E5">
        <w:rPr>
          <w:lang w:val="fr-FR"/>
        </w:rPr>
        <w:t>’</w:t>
      </w:r>
      <w:r w:rsidRPr="00830E36">
        <w:rPr>
          <w:lang w:val="fr-FR"/>
        </w:rPr>
        <w:t>une violation de la confidentialité par une autre partie en violation du présent Accord et qui, pour des motifs raisonnables, pourrait vraisemblablement compromettre l</w:t>
      </w:r>
      <w:r w:rsidR="00E963E5">
        <w:rPr>
          <w:lang w:val="fr-FR"/>
        </w:rPr>
        <w:t>’</w:t>
      </w:r>
      <w:r w:rsidRPr="00830E36">
        <w:rPr>
          <w:lang w:val="fr-FR"/>
        </w:rPr>
        <w:t>ensemble du système d</w:t>
      </w:r>
      <w:r w:rsidR="00E963E5">
        <w:rPr>
          <w:lang w:val="fr-FR"/>
        </w:rPr>
        <w:t>’</w:t>
      </w:r>
      <w:r w:rsidRPr="00830E36">
        <w:rPr>
          <w:lang w:val="fr-FR"/>
        </w:rPr>
        <w:t>échange d</w:t>
      </w:r>
      <w:r w:rsidR="00E963E5">
        <w:rPr>
          <w:lang w:val="fr-FR"/>
        </w:rPr>
        <w:t>’</w:t>
      </w:r>
      <w:r w:rsidRPr="00830E36">
        <w:rPr>
          <w:lang w:val="fr-FR"/>
        </w:rPr>
        <w:t>informations sur la pêche, notifie par écrit cette violation à toutes les autres parties et la COI et demande la suspension immédiate des échanges d</w:t>
      </w:r>
      <w:r w:rsidR="00E963E5">
        <w:rPr>
          <w:lang w:val="fr-FR"/>
        </w:rPr>
        <w:t>’</w:t>
      </w:r>
      <w:r w:rsidRPr="00830E36">
        <w:rPr>
          <w:lang w:val="fr-FR"/>
        </w:rPr>
        <w:t>informations entre la partie concernée et la COI afin de sauvegarder le système régional d</w:t>
      </w:r>
      <w:r w:rsidR="00E963E5">
        <w:rPr>
          <w:lang w:val="fr-FR"/>
        </w:rPr>
        <w:t>’</w:t>
      </w:r>
      <w:r w:rsidRPr="00830E36">
        <w:rPr>
          <w:lang w:val="fr-FR"/>
        </w:rPr>
        <w:t>échange d</w:t>
      </w:r>
      <w:r w:rsidR="00E963E5">
        <w:rPr>
          <w:lang w:val="fr-FR"/>
        </w:rPr>
        <w:t>’</w:t>
      </w:r>
      <w:r w:rsidRPr="00830E36">
        <w:rPr>
          <w:lang w:val="fr-FR"/>
        </w:rPr>
        <w:t>informations</w:t>
      </w:r>
    </w:p>
    <w:p w14:paraId="553C2147" w14:textId="7ED573A9" w:rsidR="00746BD1" w:rsidRPr="00830E36" w:rsidRDefault="00746BD1">
      <w:pPr>
        <w:rPr>
          <w:lang w:val="fr-FR"/>
        </w:rPr>
      </w:pPr>
    </w:p>
    <w:p w14:paraId="5DC3168D" w14:textId="12B3E102" w:rsidR="00746BD1" w:rsidRPr="00830E36" w:rsidRDefault="00B577DB">
      <w:pPr>
        <w:rPr>
          <w:lang w:val="fr-FR"/>
        </w:rPr>
      </w:pPr>
      <w:r w:rsidRPr="00830E36">
        <w:rPr>
          <w:b/>
          <w:lang w:val="fr-FR"/>
        </w:rPr>
        <w:t>A</w:t>
      </w:r>
      <w:r w:rsidR="00830E36">
        <w:rPr>
          <w:b/>
          <w:lang w:val="fr-FR"/>
        </w:rPr>
        <w:t xml:space="preserve"> examiner :</w:t>
      </w:r>
    </w:p>
    <w:p w14:paraId="72957BCB" w14:textId="77777777" w:rsidR="00746BD1" w:rsidRPr="00830E36" w:rsidRDefault="00746BD1">
      <w:pPr>
        <w:rPr>
          <w:b/>
          <w:lang w:val="fr-FR"/>
        </w:rPr>
      </w:pPr>
    </w:p>
    <w:p w14:paraId="43622B2E" w14:textId="6F6BA314" w:rsidR="00746BD1" w:rsidRPr="00830E36" w:rsidRDefault="00B577DB">
      <w:pPr>
        <w:pStyle w:val="ListParagraph"/>
        <w:numPr>
          <w:ilvl w:val="0"/>
          <w:numId w:val="16"/>
        </w:numPr>
        <w:ind w:left="360"/>
        <w:rPr>
          <w:lang w:val="fr-FR"/>
        </w:rPr>
      </w:pPr>
      <w:r w:rsidRPr="00830E36">
        <w:rPr>
          <w:lang w:val="fr-FR"/>
        </w:rPr>
        <w:t>La COI n</w:t>
      </w:r>
      <w:r w:rsidR="00E963E5">
        <w:rPr>
          <w:lang w:val="fr-FR"/>
        </w:rPr>
        <w:t>’</w:t>
      </w:r>
      <w:r w:rsidRPr="00830E36">
        <w:rPr>
          <w:lang w:val="fr-FR"/>
        </w:rPr>
        <w:t>est pas partie à l</w:t>
      </w:r>
      <w:r w:rsidR="00E963E5">
        <w:rPr>
          <w:lang w:val="fr-FR"/>
        </w:rPr>
        <w:t>’</w:t>
      </w:r>
      <w:r w:rsidRPr="00830E36">
        <w:rPr>
          <w:lang w:val="fr-FR"/>
        </w:rPr>
        <w:t>accord et n</w:t>
      </w:r>
      <w:r w:rsidR="00E963E5">
        <w:rPr>
          <w:lang w:val="fr-FR"/>
        </w:rPr>
        <w:t>’</w:t>
      </w:r>
      <w:r w:rsidRPr="00830E36">
        <w:rPr>
          <w:lang w:val="fr-FR"/>
        </w:rPr>
        <w:t>aurait pas le pouvoir de le suspendre. Le pouvoir de suspendre les échanges de données devrait être donné à (toutes) les Parties, ou à d</w:t>
      </w:r>
      <w:r w:rsidR="00E963E5">
        <w:rPr>
          <w:lang w:val="fr-FR"/>
        </w:rPr>
        <w:t>’</w:t>
      </w:r>
      <w:r w:rsidRPr="00830E36">
        <w:rPr>
          <w:lang w:val="fr-FR"/>
        </w:rPr>
        <w:t>autres Parties, qui devraient ordonner à la COI de suspendre les échanges de données. Une proposition de paragraphe devrait aborder cette question et la proposition de paragraphe 1 devrait être modifié en conséquence.</w:t>
      </w:r>
    </w:p>
    <w:p w14:paraId="3FF0E7DC" w14:textId="17FBA84F" w:rsidR="00746BD1" w:rsidRPr="00830E36" w:rsidRDefault="00746BD1">
      <w:pPr>
        <w:rPr>
          <w:lang w:val="fr-FR"/>
        </w:rPr>
      </w:pPr>
    </w:p>
    <w:p w14:paraId="2C7499D2" w14:textId="5D60A569" w:rsidR="00746BD1" w:rsidRPr="00830E36" w:rsidRDefault="00B577DB">
      <w:pPr>
        <w:pStyle w:val="ListParagraph"/>
        <w:numPr>
          <w:ilvl w:val="0"/>
          <w:numId w:val="16"/>
        </w:numPr>
        <w:ind w:left="360"/>
        <w:rPr>
          <w:lang w:val="fr-FR"/>
        </w:rPr>
      </w:pPr>
      <w:r w:rsidRPr="00830E36">
        <w:rPr>
          <w:lang w:val="fr-FR"/>
        </w:rPr>
        <w:t>« Échanges de données » est modifié en « échanges d</w:t>
      </w:r>
      <w:r w:rsidR="00E963E5">
        <w:rPr>
          <w:lang w:val="fr-FR"/>
        </w:rPr>
        <w:t>’</w:t>
      </w:r>
      <w:r w:rsidRPr="00830E36">
        <w:rPr>
          <w:lang w:val="fr-FR"/>
        </w:rPr>
        <w:t>informations » compte tenu du titre et de la définition de « informations » pour inclure les données.</w:t>
      </w:r>
    </w:p>
    <w:p w14:paraId="45667DBA" w14:textId="07F22184" w:rsidR="00746BD1" w:rsidRPr="00830E36" w:rsidRDefault="00746BD1">
      <w:pPr>
        <w:rPr>
          <w:lang w:val="fr-FR"/>
        </w:rPr>
      </w:pPr>
    </w:p>
    <w:p w14:paraId="6EFC695E" w14:textId="0041A8A5" w:rsidR="00746BD1" w:rsidRPr="00830E36" w:rsidRDefault="00B577DB">
      <w:pPr>
        <w:pStyle w:val="ListParagraph"/>
        <w:numPr>
          <w:ilvl w:val="0"/>
          <w:numId w:val="16"/>
        </w:numPr>
        <w:ind w:left="360"/>
        <w:rPr>
          <w:lang w:val="fr-FR"/>
        </w:rPr>
      </w:pPr>
      <w:r w:rsidRPr="00830E36">
        <w:rPr>
          <w:lang w:val="fr-FR"/>
        </w:rPr>
        <w:t>Le titre « Mesures de protection en cas de suspension » devrait être reconsidéré en « Suspension des échanges d</w:t>
      </w:r>
      <w:r w:rsidR="00E963E5">
        <w:rPr>
          <w:lang w:val="fr-FR"/>
        </w:rPr>
        <w:t>’</w:t>
      </w:r>
      <w:r w:rsidRPr="00830E36">
        <w:rPr>
          <w:lang w:val="fr-FR"/>
        </w:rPr>
        <w:t>informations » car le terme « protection » pourrait s</w:t>
      </w:r>
      <w:r w:rsidR="00E963E5">
        <w:rPr>
          <w:lang w:val="fr-FR"/>
        </w:rPr>
        <w:t>’</w:t>
      </w:r>
      <w:r w:rsidRPr="00830E36">
        <w:rPr>
          <w:lang w:val="fr-FR"/>
        </w:rPr>
        <w:t>appliquer à de nombreuses autres situations.</w:t>
      </w:r>
    </w:p>
    <w:p w14:paraId="46400F46" w14:textId="77777777" w:rsidR="00746BD1" w:rsidRPr="00830E36" w:rsidRDefault="00746BD1">
      <w:pPr>
        <w:rPr>
          <w:lang w:val="fr-FR"/>
        </w:rPr>
      </w:pPr>
    </w:p>
    <w:p w14:paraId="181EA6B6" w14:textId="77777777" w:rsidR="00746BD1" w:rsidRPr="00830E36" w:rsidRDefault="00B577DB">
      <w:pPr>
        <w:pStyle w:val="P68B1DB1-Normal1"/>
        <w:jc w:val="center"/>
        <w:rPr>
          <w:lang w:val="fr-FR"/>
        </w:rPr>
      </w:pPr>
      <w:r w:rsidRPr="00830E36">
        <w:rPr>
          <w:lang w:val="fr-FR"/>
        </w:rPr>
        <w:t>Article 21</w:t>
      </w:r>
    </w:p>
    <w:p w14:paraId="6AEE583A" w14:textId="77777777" w:rsidR="00746BD1" w:rsidRPr="00830E36" w:rsidRDefault="00B577DB">
      <w:pPr>
        <w:pStyle w:val="P68B1DB1-Normal1"/>
        <w:jc w:val="center"/>
        <w:rPr>
          <w:lang w:val="fr-FR"/>
        </w:rPr>
      </w:pPr>
      <w:r w:rsidRPr="00830E36">
        <w:rPr>
          <w:lang w:val="fr-FR"/>
        </w:rPr>
        <w:t>Réserves et exceptions</w:t>
      </w:r>
    </w:p>
    <w:p w14:paraId="3BBACD86" w14:textId="4A17E023" w:rsidR="00746BD1" w:rsidRPr="00830E36" w:rsidRDefault="00746BD1">
      <w:pPr>
        <w:rPr>
          <w:lang w:val="fr-FR"/>
        </w:rPr>
      </w:pPr>
    </w:p>
    <w:p w14:paraId="10FE8A51" w14:textId="0C2A6805" w:rsidR="00746BD1" w:rsidRPr="00830E36" w:rsidRDefault="00B577DB">
      <w:pPr>
        <w:rPr>
          <w:lang w:val="fr-FR"/>
        </w:rPr>
      </w:pPr>
      <w:r w:rsidRPr="00830E36">
        <w:rPr>
          <w:lang w:val="fr-FR"/>
        </w:rPr>
        <w:t>Les parties peuvent formuler des réserves, à moins qu</w:t>
      </w:r>
      <w:r w:rsidR="00E963E5">
        <w:rPr>
          <w:lang w:val="fr-FR"/>
        </w:rPr>
        <w:t>’</w:t>
      </w:r>
      <w:r w:rsidRPr="00830E36">
        <w:rPr>
          <w:lang w:val="fr-FR"/>
        </w:rPr>
        <w:t xml:space="preserve">elles ne soient incompatibles avec ses objectifs. </w:t>
      </w:r>
    </w:p>
    <w:p w14:paraId="1FA8B957" w14:textId="26DAEEA3" w:rsidR="00746BD1" w:rsidRPr="00830E36" w:rsidRDefault="00746BD1">
      <w:pPr>
        <w:rPr>
          <w:lang w:val="fr-FR"/>
        </w:rPr>
      </w:pPr>
    </w:p>
    <w:p w14:paraId="3801A740" w14:textId="39E3D185" w:rsidR="00746BD1" w:rsidRPr="00830E36" w:rsidRDefault="00B577DB">
      <w:pPr>
        <w:pStyle w:val="P68B1DB1-Normal2"/>
        <w:rPr>
          <w:lang w:val="fr-FR"/>
        </w:rPr>
      </w:pPr>
      <w:r w:rsidRPr="00830E36">
        <w:rPr>
          <w:lang w:val="fr-FR"/>
        </w:rPr>
        <w:t>A</w:t>
      </w:r>
      <w:r w:rsidR="00830E36">
        <w:rPr>
          <w:lang w:val="fr-FR"/>
        </w:rPr>
        <w:t xml:space="preserve"> examiner :</w:t>
      </w:r>
    </w:p>
    <w:p w14:paraId="0B3BED27" w14:textId="1505BAE6" w:rsidR="00746BD1" w:rsidRPr="00830E36" w:rsidRDefault="00746BD1">
      <w:pPr>
        <w:rPr>
          <w:lang w:val="fr-FR"/>
        </w:rPr>
      </w:pPr>
    </w:p>
    <w:p w14:paraId="17DFD935" w14:textId="62F53459" w:rsidR="00746BD1" w:rsidRPr="00830E36" w:rsidRDefault="00B577DB">
      <w:pPr>
        <w:rPr>
          <w:lang w:val="fr-FR"/>
        </w:rPr>
      </w:pPr>
      <w:r w:rsidRPr="00830E36">
        <w:rPr>
          <w:lang w:val="fr-FR"/>
        </w:rPr>
        <w:t>Le titre traite des « exceptions », mais cela n</w:t>
      </w:r>
      <w:r w:rsidR="00E963E5">
        <w:rPr>
          <w:lang w:val="fr-FR"/>
        </w:rPr>
        <w:t>’</w:t>
      </w:r>
      <w:r w:rsidRPr="00830E36">
        <w:rPr>
          <w:lang w:val="fr-FR"/>
        </w:rPr>
        <w:t>est pas inclus dans le texte.</w:t>
      </w:r>
    </w:p>
    <w:p w14:paraId="5BC41274" w14:textId="0C04C66F" w:rsidR="00746BD1" w:rsidRPr="00830E36" w:rsidRDefault="00746BD1">
      <w:pPr>
        <w:rPr>
          <w:lang w:val="fr-FR"/>
        </w:rPr>
      </w:pPr>
    </w:p>
    <w:p w14:paraId="66E9B8CA" w14:textId="77777777" w:rsidR="00746BD1" w:rsidRPr="00830E36" w:rsidRDefault="00B577DB">
      <w:pPr>
        <w:pStyle w:val="P68B1DB1-Normal1"/>
        <w:jc w:val="center"/>
        <w:rPr>
          <w:lang w:val="fr-FR"/>
        </w:rPr>
      </w:pPr>
      <w:r w:rsidRPr="00830E36">
        <w:rPr>
          <w:lang w:val="fr-FR"/>
        </w:rPr>
        <w:t>Article 22</w:t>
      </w:r>
    </w:p>
    <w:p w14:paraId="2F630DA0" w14:textId="5CDA2B11" w:rsidR="00746BD1" w:rsidRPr="00830E36" w:rsidRDefault="00B577DB">
      <w:pPr>
        <w:pStyle w:val="P68B1DB1-Normal1"/>
        <w:jc w:val="center"/>
        <w:rPr>
          <w:lang w:val="fr-FR"/>
        </w:rPr>
      </w:pPr>
      <w:r w:rsidRPr="00830E36">
        <w:rPr>
          <w:lang w:val="fr-FR"/>
        </w:rPr>
        <w:t>Rapports avec d</w:t>
      </w:r>
      <w:r w:rsidR="00E963E5">
        <w:rPr>
          <w:lang w:val="fr-FR"/>
        </w:rPr>
        <w:t>’</w:t>
      </w:r>
      <w:r w:rsidRPr="00830E36">
        <w:rPr>
          <w:lang w:val="fr-FR"/>
        </w:rPr>
        <w:t>autres accords</w:t>
      </w:r>
    </w:p>
    <w:p w14:paraId="2E3D3F15" w14:textId="4F60DFC7" w:rsidR="00746BD1" w:rsidRPr="00830E36" w:rsidRDefault="00746BD1">
      <w:pPr>
        <w:rPr>
          <w:lang w:val="fr-FR"/>
        </w:rPr>
      </w:pPr>
    </w:p>
    <w:p w14:paraId="5275C037" w14:textId="4BAE0441" w:rsidR="00746BD1" w:rsidRPr="00830E36" w:rsidRDefault="00B577DB">
      <w:pPr>
        <w:rPr>
          <w:lang w:val="fr-FR"/>
        </w:rPr>
      </w:pPr>
      <w:r w:rsidRPr="00830E36">
        <w:rPr>
          <w:lang w:val="fr-FR"/>
        </w:rPr>
        <w:t>Cela ne modifie pas les droits et obligations des Parties découlant d</w:t>
      </w:r>
      <w:r w:rsidR="00E963E5">
        <w:rPr>
          <w:lang w:val="fr-FR"/>
        </w:rPr>
        <w:t>’</w:t>
      </w:r>
      <w:r w:rsidRPr="00830E36">
        <w:rPr>
          <w:lang w:val="fr-FR"/>
        </w:rPr>
        <w:t>autres accords compatibles avec celui-ci.</w:t>
      </w:r>
    </w:p>
    <w:p w14:paraId="4727EB13" w14:textId="61720D78" w:rsidR="00746BD1" w:rsidRPr="00830E36" w:rsidRDefault="00746BD1">
      <w:pPr>
        <w:rPr>
          <w:lang w:val="fr-FR"/>
        </w:rPr>
      </w:pPr>
    </w:p>
    <w:p w14:paraId="6F7B9F10" w14:textId="77DD9EE5" w:rsidR="00746BD1" w:rsidRPr="00830E36" w:rsidRDefault="00B577DB">
      <w:pPr>
        <w:rPr>
          <w:lang w:val="fr-FR"/>
        </w:rPr>
      </w:pPr>
      <w:r w:rsidRPr="00830E36">
        <w:rPr>
          <w:lang w:val="fr-FR"/>
        </w:rPr>
        <w:t>Deux ou plusieurs Parties peuvent conclure des accords qui modifient ou suspendent l</w:t>
      </w:r>
      <w:r w:rsidR="00E963E5">
        <w:rPr>
          <w:lang w:val="fr-FR"/>
        </w:rPr>
        <w:t>’</w:t>
      </w:r>
      <w:r w:rsidRPr="00830E36">
        <w:rPr>
          <w:lang w:val="fr-FR"/>
        </w:rPr>
        <w:t>application des dispositions de l</w:t>
      </w:r>
      <w:r w:rsidR="00E963E5">
        <w:rPr>
          <w:lang w:val="fr-FR"/>
        </w:rPr>
        <w:t>’</w:t>
      </w:r>
      <w:r w:rsidRPr="00830E36">
        <w:rPr>
          <w:lang w:val="fr-FR"/>
        </w:rPr>
        <w:t>Accord applicables aux relations entre elles, à condition que ces accords « ne portent pas sur une dérogation à une disposition incompatible avec l</w:t>
      </w:r>
      <w:r w:rsidR="00E963E5">
        <w:rPr>
          <w:lang w:val="fr-FR"/>
        </w:rPr>
        <w:t>’</w:t>
      </w:r>
      <w:r w:rsidRPr="00830E36">
        <w:rPr>
          <w:lang w:val="fr-FR"/>
        </w:rPr>
        <w:t>exécution effective de l</w:t>
      </w:r>
      <w:r w:rsidR="00E963E5">
        <w:rPr>
          <w:lang w:val="fr-FR"/>
        </w:rPr>
        <w:t>’</w:t>
      </w:r>
      <w:r w:rsidRPr="00830E36">
        <w:rPr>
          <w:lang w:val="fr-FR"/>
        </w:rPr>
        <w:t>objet et du but du présent Accord ».</w:t>
      </w:r>
    </w:p>
    <w:p w14:paraId="13E86E81" w14:textId="56E405C1" w:rsidR="00746BD1" w:rsidRPr="00830E36" w:rsidRDefault="00746BD1">
      <w:pPr>
        <w:rPr>
          <w:lang w:val="fr-FR"/>
        </w:rPr>
      </w:pPr>
    </w:p>
    <w:p w14:paraId="04BDB47A" w14:textId="64091D0B" w:rsidR="00746BD1" w:rsidRPr="00830E36" w:rsidRDefault="00B577DB">
      <w:pPr>
        <w:pStyle w:val="P68B1DB1-Normal2"/>
        <w:rPr>
          <w:lang w:val="fr-FR"/>
        </w:rPr>
      </w:pPr>
      <w:r w:rsidRPr="00830E36">
        <w:rPr>
          <w:lang w:val="fr-FR"/>
        </w:rPr>
        <w:t>A</w:t>
      </w:r>
      <w:r w:rsidR="00830E36">
        <w:rPr>
          <w:lang w:val="fr-FR"/>
        </w:rPr>
        <w:t xml:space="preserve"> examiner :</w:t>
      </w:r>
    </w:p>
    <w:p w14:paraId="5C025AC4" w14:textId="6160E605" w:rsidR="00746BD1" w:rsidRPr="00830E36" w:rsidRDefault="00746BD1">
      <w:pPr>
        <w:rPr>
          <w:lang w:val="fr-FR"/>
        </w:rPr>
      </w:pPr>
    </w:p>
    <w:p w14:paraId="5D653F55" w14:textId="0028FFB6" w:rsidR="00746BD1" w:rsidRPr="00830E36" w:rsidRDefault="00B577DB">
      <w:pPr>
        <w:rPr>
          <w:lang w:val="fr-FR"/>
        </w:rPr>
      </w:pPr>
      <w:r w:rsidRPr="00830E36">
        <w:rPr>
          <w:lang w:val="fr-FR"/>
        </w:rPr>
        <w:t>La formulation concernant la modification ou la suspension de l</w:t>
      </w:r>
      <w:r w:rsidR="00E963E5">
        <w:rPr>
          <w:lang w:val="fr-FR"/>
        </w:rPr>
        <w:t>’</w:t>
      </w:r>
      <w:r w:rsidRPr="00830E36">
        <w:rPr>
          <w:lang w:val="fr-FR"/>
        </w:rPr>
        <w:t>Accord dans les citations n</w:t>
      </w:r>
      <w:r w:rsidR="00E963E5">
        <w:rPr>
          <w:lang w:val="fr-FR"/>
        </w:rPr>
        <w:t>’</w:t>
      </w:r>
      <w:r w:rsidRPr="00830E36">
        <w:rPr>
          <w:lang w:val="fr-FR"/>
        </w:rPr>
        <w:t>est pas clair. Une option consisterait à « ne pas porter sur une dérogation provisoire incompatible avec l</w:t>
      </w:r>
      <w:r w:rsidR="00E963E5">
        <w:rPr>
          <w:lang w:val="fr-FR"/>
        </w:rPr>
        <w:t>’</w:t>
      </w:r>
      <w:r w:rsidRPr="00830E36">
        <w:rPr>
          <w:lang w:val="fr-FR"/>
        </w:rPr>
        <w:t>exécution effective de l</w:t>
      </w:r>
      <w:r w:rsidR="00E963E5">
        <w:rPr>
          <w:lang w:val="fr-FR"/>
        </w:rPr>
        <w:t>’</w:t>
      </w:r>
      <w:r w:rsidRPr="00830E36">
        <w:rPr>
          <w:lang w:val="fr-FR"/>
        </w:rPr>
        <w:t>objectif du présent accord ». Un article prévoit un objectif, mais pas « l</w:t>
      </w:r>
      <w:r w:rsidR="00E963E5">
        <w:rPr>
          <w:lang w:val="fr-FR"/>
        </w:rPr>
        <w:t>’</w:t>
      </w:r>
      <w:r w:rsidRPr="00830E36">
        <w:rPr>
          <w:lang w:val="fr-FR"/>
        </w:rPr>
        <w:t>objet et le but ».</w:t>
      </w:r>
    </w:p>
    <w:p w14:paraId="019B77A5" w14:textId="4449A57F" w:rsidR="00746BD1" w:rsidRPr="00830E36" w:rsidRDefault="00746BD1">
      <w:pPr>
        <w:rPr>
          <w:lang w:val="fr-FR"/>
        </w:rPr>
      </w:pPr>
    </w:p>
    <w:p w14:paraId="3E182C0C" w14:textId="77777777" w:rsidR="00746BD1" w:rsidRPr="00830E36" w:rsidRDefault="00B577DB">
      <w:pPr>
        <w:pStyle w:val="P68B1DB1-Normal1"/>
        <w:jc w:val="center"/>
        <w:rPr>
          <w:lang w:val="fr-FR"/>
        </w:rPr>
      </w:pPr>
      <w:r w:rsidRPr="00830E36">
        <w:rPr>
          <w:lang w:val="fr-FR"/>
        </w:rPr>
        <w:t>Article 23</w:t>
      </w:r>
    </w:p>
    <w:p w14:paraId="405E91A4" w14:textId="77777777" w:rsidR="00746BD1" w:rsidRPr="00830E36" w:rsidRDefault="00B577DB">
      <w:pPr>
        <w:pStyle w:val="P68B1DB1-Normal1"/>
        <w:jc w:val="center"/>
        <w:rPr>
          <w:lang w:val="fr-FR"/>
        </w:rPr>
      </w:pPr>
      <w:r w:rsidRPr="00830E36">
        <w:rPr>
          <w:lang w:val="fr-FR"/>
        </w:rPr>
        <w:t>Dépositaire</w:t>
      </w:r>
    </w:p>
    <w:p w14:paraId="4E041486" w14:textId="77777777" w:rsidR="00746BD1" w:rsidRPr="00830E36" w:rsidRDefault="00746BD1">
      <w:pPr>
        <w:rPr>
          <w:lang w:val="fr-FR"/>
        </w:rPr>
      </w:pPr>
    </w:p>
    <w:p w14:paraId="5D2A0EFA" w14:textId="08EFCEAD" w:rsidR="00746BD1" w:rsidRPr="00830E36" w:rsidRDefault="00B577DB">
      <w:pPr>
        <w:rPr>
          <w:lang w:val="fr-FR"/>
        </w:rPr>
      </w:pPr>
      <w:r w:rsidRPr="00830E36">
        <w:rPr>
          <w:lang w:val="fr-FR"/>
        </w:rPr>
        <w:t>Cette disposition exige que l</w:t>
      </w:r>
      <w:r w:rsidR="00E963E5">
        <w:rPr>
          <w:lang w:val="fr-FR"/>
        </w:rPr>
        <w:t>’</w:t>
      </w:r>
      <w:r w:rsidRPr="00830E36">
        <w:rPr>
          <w:lang w:val="fr-FR"/>
        </w:rPr>
        <w:t>original de l</w:t>
      </w:r>
      <w:r w:rsidR="00E963E5">
        <w:rPr>
          <w:lang w:val="fr-FR"/>
        </w:rPr>
        <w:t>’</w:t>
      </w:r>
      <w:r w:rsidRPr="00830E36">
        <w:rPr>
          <w:lang w:val="fr-FR"/>
        </w:rPr>
        <w:t>Accord soit déposé auprès de la COI, « qui fera office de Dépositaire », et exige que le Dépositaire transmette des copies certifiées conformes de l</w:t>
      </w:r>
      <w:r w:rsidR="00E963E5">
        <w:rPr>
          <w:lang w:val="fr-FR"/>
        </w:rPr>
        <w:t>’</w:t>
      </w:r>
      <w:r w:rsidRPr="00830E36">
        <w:rPr>
          <w:lang w:val="fr-FR"/>
        </w:rPr>
        <w:t>Accord à tous les signataires.</w:t>
      </w:r>
    </w:p>
    <w:p w14:paraId="180CFA0D" w14:textId="77777777" w:rsidR="00746BD1" w:rsidRPr="00830E36" w:rsidRDefault="00746BD1">
      <w:pPr>
        <w:rPr>
          <w:lang w:val="fr-FR"/>
        </w:rPr>
      </w:pPr>
    </w:p>
    <w:p w14:paraId="46DD903F" w14:textId="27DD306F" w:rsidR="00746BD1" w:rsidRPr="00830E36" w:rsidRDefault="00830E36">
      <w:pPr>
        <w:pStyle w:val="P68B1DB1-Normal2"/>
        <w:rPr>
          <w:lang w:val="fr-FR"/>
        </w:rPr>
      </w:pPr>
      <w:r w:rsidRPr="00830E36">
        <w:rPr>
          <w:lang w:val="fr-FR"/>
        </w:rPr>
        <w:t xml:space="preserve">A </w:t>
      </w:r>
      <w:r>
        <w:rPr>
          <w:lang w:val="fr-FR"/>
        </w:rPr>
        <w:t>examiner :</w:t>
      </w:r>
    </w:p>
    <w:p w14:paraId="0DEF3AF9" w14:textId="6AC25392" w:rsidR="00746BD1" w:rsidRPr="00830E36" w:rsidRDefault="00746BD1">
      <w:pPr>
        <w:rPr>
          <w:lang w:val="fr-FR"/>
        </w:rPr>
      </w:pPr>
    </w:p>
    <w:p w14:paraId="3D3E734D" w14:textId="014EFAEB" w:rsidR="00746BD1" w:rsidRPr="00830E36" w:rsidRDefault="00B577DB">
      <w:pPr>
        <w:rPr>
          <w:lang w:val="fr-FR"/>
        </w:rPr>
      </w:pPr>
      <w:r w:rsidRPr="00830E36">
        <w:rPr>
          <w:lang w:val="fr-FR"/>
        </w:rPr>
        <w:t>La meilleure pratique consiste à indiquer simplement ce qui suit </w:t>
      </w:r>
      <w:r w:rsidR="00830E36" w:rsidRPr="00830E36">
        <w:rPr>
          <w:lang w:val="fr-FR"/>
        </w:rPr>
        <w:t>: «</w:t>
      </w:r>
      <w:r w:rsidRPr="00830E36">
        <w:rPr>
          <w:lang w:val="fr-FR"/>
        </w:rPr>
        <w:t> La COI est le dépositaire de cet</w:t>
      </w:r>
    </w:p>
    <w:p w14:paraId="40E6BBCB" w14:textId="3DCEFEDB" w:rsidR="00746BD1" w:rsidRPr="00830E36" w:rsidRDefault="00B577DB">
      <w:pPr>
        <w:rPr>
          <w:lang w:val="fr-FR"/>
        </w:rPr>
      </w:pPr>
      <w:r w:rsidRPr="00830E36">
        <w:rPr>
          <w:lang w:val="fr-FR"/>
        </w:rPr>
        <w:t>Accord et de toute modification ou révision qui y est apportée. » C</w:t>
      </w:r>
      <w:r w:rsidR="00E963E5">
        <w:rPr>
          <w:lang w:val="fr-FR"/>
        </w:rPr>
        <w:t>’</w:t>
      </w:r>
      <w:r w:rsidRPr="00830E36">
        <w:rPr>
          <w:lang w:val="fr-FR"/>
        </w:rPr>
        <w:t>est parce que le Dépositaire a de nombreuses fonctions, pas seulement transmettre des copies certifiées conformes à tous les signataires, et spécifier une fonction indique qu</w:t>
      </w:r>
      <w:r w:rsidR="00E963E5">
        <w:rPr>
          <w:lang w:val="fr-FR"/>
        </w:rPr>
        <w:t>’</w:t>
      </w:r>
      <w:r w:rsidRPr="00830E36">
        <w:rPr>
          <w:lang w:val="fr-FR"/>
        </w:rPr>
        <w:t>il n</w:t>
      </w:r>
      <w:r w:rsidR="00E963E5">
        <w:rPr>
          <w:lang w:val="fr-FR"/>
        </w:rPr>
        <w:t>’</w:t>
      </w:r>
      <w:r w:rsidRPr="00830E36">
        <w:rPr>
          <w:lang w:val="fr-FR"/>
        </w:rPr>
        <w:t>y en a pas d</w:t>
      </w:r>
      <w:r w:rsidR="00E963E5">
        <w:rPr>
          <w:lang w:val="fr-FR"/>
        </w:rPr>
        <w:t>’</w:t>
      </w:r>
      <w:r w:rsidRPr="00830E36">
        <w:rPr>
          <w:lang w:val="fr-FR"/>
        </w:rPr>
        <w:t xml:space="preserve">autres. </w:t>
      </w:r>
    </w:p>
    <w:p w14:paraId="6FF30D8B" w14:textId="5A5B75F2" w:rsidR="00746BD1" w:rsidRPr="00830E36" w:rsidRDefault="00746BD1">
      <w:pPr>
        <w:rPr>
          <w:lang w:val="fr-FR"/>
        </w:rPr>
      </w:pPr>
    </w:p>
    <w:p w14:paraId="01C8A6D9" w14:textId="788B0E12" w:rsidR="00746BD1" w:rsidRPr="00830E36" w:rsidRDefault="00B577DB">
      <w:pPr>
        <w:pStyle w:val="P68B1DB1-Normal1"/>
        <w:jc w:val="center"/>
        <w:rPr>
          <w:lang w:val="fr-FR"/>
        </w:rPr>
      </w:pPr>
      <w:r w:rsidRPr="00830E36">
        <w:rPr>
          <w:lang w:val="fr-FR"/>
        </w:rPr>
        <w:t xml:space="preserve">(Nouvel article </w:t>
      </w:r>
      <w:r w:rsidR="00830E36" w:rsidRPr="00830E36">
        <w:rPr>
          <w:lang w:val="fr-FR"/>
        </w:rPr>
        <w:t>24 Textes</w:t>
      </w:r>
      <w:r w:rsidRPr="00830E36">
        <w:rPr>
          <w:lang w:val="fr-FR"/>
        </w:rPr>
        <w:t xml:space="preserve"> faisant foi)</w:t>
      </w:r>
    </w:p>
    <w:p w14:paraId="502A1B10" w14:textId="7A5D12B2" w:rsidR="00746BD1" w:rsidRPr="00830E36" w:rsidRDefault="00746BD1">
      <w:pPr>
        <w:rPr>
          <w:lang w:val="fr-FR"/>
        </w:rPr>
      </w:pPr>
    </w:p>
    <w:p w14:paraId="36BC4ED8" w14:textId="41FAB0F8" w:rsidR="00746BD1" w:rsidRPr="00830E36" w:rsidRDefault="00830E36">
      <w:pPr>
        <w:pStyle w:val="P68B1DB1-Normal2"/>
        <w:rPr>
          <w:lang w:val="fr-FR"/>
        </w:rPr>
      </w:pPr>
      <w:r w:rsidRPr="00830E36">
        <w:rPr>
          <w:lang w:val="fr-FR"/>
        </w:rPr>
        <w:t xml:space="preserve">A </w:t>
      </w:r>
      <w:r>
        <w:rPr>
          <w:lang w:val="fr-FR"/>
        </w:rPr>
        <w:t>examiner :</w:t>
      </w:r>
    </w:p>
    <w:p w14:paraId="5F627F9B" w14:textId="77777777" w:rsidR="00746BD1" w:rsidRPr="00830E36" w:rsidRDefault="00746BD1">
      <w:pPr>
        <w:rPr>
          <w:lang w:val="fr-FR"/>
        </w:rPr>
      </w:pPr>
    </w:p>
    <w:p w14:paraId="5FA3275B" w14:textId="0F3B7E9E" w:rsidR="00746BD1" w:rsidRPr="00830E36" w:rsidRDefault="00B577DB">
      <w:pPr>
        <w:rPr>
          <w:lang w:val="fr-FR"/>
        </w:rPr>
      </w:pPr>
      <w:r w:rsidRPr="00830E36">
        <w:rPr>
          <w:lang w:val="fr-FR"/>
        </w:rPr>
        <w:t>Il n</w:t>
      </w:r>
      <w:r w:rsidR="00E963E5">
        <w:rPr>
          <w:lang w:val="fr-FR"/>
        </w:rPr>
        <w:t>’</w:t>
      </w:r>
      <w:r w:rsidRPr="00830E36">
        <w:rPr>
          <w:lang w:val="fr-FR"/>
        </w:rPr>
        <w:t>y a pas de dispositions pour les te</w:t>
      </w:r>
      <w:r w:rsidR="00E50F0C">
        <w:rPr>
          <w:lang w:val="fr-FR"/>
        </w:rPr>
        <w:t>xtes faisant foi. Par exemple, « </w:t>
      </w:r>
      <w:r w:rsidRPr="00830E36">
        <w:rPr>
          <w:lang w:val="fr-FR"/>
        </w:rPr>
        <w:t>les textes anglais et français du prés</w:t>
      </w:r>
      <w:r w:rsidR="00E50F0C">
        <w:rPr>
          <w:lang w:val="fr-FR"/>
        </w:rPr>
        <w:t xml:space="preserve">ent Accord font également foi. » </w:t>
      </w:r>
      <w:r w:rsidRPr="00830E36">
        <w:rPr>
          <w:lang w:val="fr-FR"/>
        </w:rPr>
        <w:t>Cela devrait être inclus si les deux langues doivent être utilisées.</w:t>
      </w:r>
    </w:p>
    <w:p w14:paraId="19D0CBD5" w14:textId="7A287AB3" w:rsidR="00746BD1" w:rsidRPr="00830E36" w:rsidRDefault="00746BD1">
      <w:pPr>
        <w:rPr>
          <w:lang w:val="fr-FR"/>
        </w:rPr>
      </w:pPr>
    </w:p>
    <w:p w14:paraId="7DF81A70" w14:textId="77777777" w:rsidR="00746BD1" w:rsidRPr="00830E36" w:rsidRDefault="00746BD1">
      <w:pPr>
        <w:rPr>
          <w:lang w:val="fr-FR"/>
        </w:rPr>
      </w:pPr>
    </w:p>
    <w:p w14:paraId="61580B29" w14:textId="09B0FD36" w:rsidR="00746BD1" w:rsidRPr="00830E36" w:rsidRDefault="00746BD1">
      <w:pPr>
        <w:rPr>
          <w:lang w:val="fr-FR"/>
        </w:rPr>
      </w:pPr>
    </w:p>
    <w:p w14:paraId="15890DD4" w14:textId="0EE1E10F" w:rsidR="00746BD1" w:rsidRPr="00830E36" w:rsidRDefault="00B577DB">
      <w:pPr>
        <w:rPr>
          <w:lang w:val="fr-FR"/>
        </w:rPr>
      </w:pPr>
      <w:r w:rsidRPr="00830E36">
        <w:rPr>
          <w:lang w:val="fr-FR"/>
        </w:rPr>
        <w:t>EN FOI DE QUOI, les soussignés, Ministres, dûment autorisés, ont signé le présent Accord.</w:t>
      </w:r>
    </w:p>
    <w:p w14:paraId="45E445A6" w14:textId="77777777" w:rsidR="00746BD1" w:rsidRPr="00830E36" w:rsidRDefault="00746BD1">
      <w:pPr>
        <w:rPr>
          <w:lang w:val="fr-FR"/>
        </w:rPr>
      </w:pPr>
    </w:p>
    <w:p w14:paraId="65EEC7DF" w14:textId="6728EDD3" w:rsidR="00746BD1" w:rsidRPr="00830E36" w:rsidRDefault="00B577DB">
      <w:pPr>
        <w:rPr>
          <w:lang w:val="fr-FR"/>
        </w:rPr>
      </w:pPr>
      <w:r w:rsidRPr="00830E36">
        <w:rPr>
          <w:lang w:val="fr-FR"/>
        </w:rPr>
        <w:t xml:space="preserve">OUVERT </w:t>
      </w:r>
      <w:r w:rsidR="00DD5A7B">
        <w:rPr>
          <w:lang w:val="fr-FR"/>
        </w:rPr>
        <w:t>A LA</w:t>
      </w:r>
      <w:r w:rsidRPr="00830E36">
        <w:rPr>
          <w:lang w:val="fr-FR"/>
        </w:rPr>
        <w:t xml:space="preserve"> SIGNATURE à xxx, ce xxx jour de xxx, deux mille deux</w:t>
      </w:r>
      <w:r w:rsidR="00830E36">
        <w:rPr>
          <w:lang w:val="fr-FR"/>
        </w:rPr>
        <w:t xml:space="preserve"> </w:t>
      </w:r>
      <w:r w:rsidRPr="00830E36">
        <w:rPr>
          <w:lang w:val="fr-FR"/>
        </w:rPr>
        <w:t>cent vingt-trois, en un seul original, en français et en anglais.</w:t>
      </w:r>
    </w:p>
    <w:p w14:paraId="26733970" w14:textId="2D6F368F" w:rsidR="00746BD1" w:rsidRPr="00830E36" w:rsidRDefault="00746BD1">
      <w:pPr>
        <w:rPr>
          <w:lang w:val="fr-FR"/>
        </w:rPr>
      </w:pPr>
    </w:p>
    <w:p w14:paraId="6CF9F915" w14:textId="4CD58B19" w:rsidR="00746BD1" w:rsidRPr="00830E36" w:rsidRDefault="00746BD1">
      <w:pPr>
        <w:rPr>
          <w:lang w:val="fr-FR"/>
        </w:rPr>
      </w:pPr>
    </w:p>
    <w:p w14:paraId="7271B2D1" w14:textId="762D2840" w:rsidR="00746BD1" w:rsidRPr="00830E36" w:rsidRDefault="00B577DB">
      <w:pPr>
        <w:pStyle w:val="P68B1DB1-Normal1"/>
        <w:rPr>
          <w:lang w:val="fr-FR"/>
        </w:rPr>
      </w:pPr>
      <w:r w:rsidRPr="00830E36">
        <w:rPr>
          <w:lang w:val="fr-FR"/>
        </w:rPr>
        <w:t xml:space="preserve">ANNEXE </w:t>
      </w:r>
      <w:r w:rsidR="00830E36" w:rsidRPr="00830E36">
        <w:rPr>
          <w:lang w:val="fr-FR"/>
        </w:rPr>
        <w:t>1 ZONE</w:t>
      </w:r>
      <w:r w:rsidRPr="00830E36">
        <w:rPr>
          <w:lang w:val="fr-FR"/>
        </w:rPr>
        <w:t xml:space="preserve"> DE COOPÉRATION</w:t>
      </w:r>
    </w:p>
    <w:p w14:paraId="0A6EFCB7" w14:textId="5EE1A62F" w:rsidR="00746BD1" w:rsidRPr="00830E36" w:rsidRDefault="00746BD1">
      <w:pPr>
        <w:rPr>
          <w:b/>
          <w:lang w:val="fr-FR"/>
        </w:rPr>
      </w:pPr>
    </w:p>
    <w:p w14:paraId="11B151A3" w14:textId="1B1D4480" w:rsidR="00746BD1" w:rsidRPr="00830E36" w:rsidRDefault="00B577DB">
      <w:pPr>
        <w:rPr>
          <w:lang w:val="fr-FR"/>
        </w:rPr>
      </w:pPr>
      <w:r w:rsidRPr="00830E36">
        <w:rPr>
          <w:lang w:val="fr-FR"/>
        </w:rPr>
        <w:lastRenderedPageBreak/>
        <w:t>Cette proposition d</w:t>
      </w:r>
      <w:r w:rsidR="00E963E5">
        <w:rPr>
          <w:lang w:val="fr-FR"/>
        </w:rPr>
        <w:t>’</w:t>
      </w:r>
      <w:r w:rsidRPr="00830E36">
        <w:rPr>
          <w:lang w:val="fr-FR"/>
        </w:rPr>
        <w:t>annexe devrait être revue et des coordonnées spécifiques ou d</w:t>
      </w:r>
      <w:r w:rsidR="00E963E5">
        <w:rPr>
          <w:lang w:val="fr-FR"/>
        </w:rPr>
        <w:t>’</w:t>
      </w:r>
      <w:r w:rsidRPr="00830E36">
        <w:rPr>
          <w:lang w:val="fr-FR"/>
        </w:rPr>
        <w:t>autres références devraient y figurer.</w:t>
      </w:r>
    </w:p>
    <w:p w14:paraId="45060361" w14:textId="12BC8A7D" w:rsidR="00746BD1" w:rsidRPr="00830E36" w:rsidRDefault="00746BD1">
      <w:pPr>
        <w:rPr>
          <w:b/>
          <w:lang w:val="fr-FR"/>
        </w:rPr>
      </w:pPr>
    </w:p>
    <w:p w14:paraId="1C92F17F" w14:textId="0131B085" w:rsidR="00746BD1" w:rsidRPr="00830E36" w:rsidRDefault="00B577DB">
      <w:pPr>
        <w:pStyle w:val="P68B1DB1-Normal1"/>
        <w:rPr>
          <w:lang w:val="fr-FR"/>
        </w:rPr>
      </w:pPr>
      <w:r w:rsidRPr="00830E36">
        <w:rPr>
          <w:lang w:val="fr-FR"/>
        </w:rPr>
        <w:t>ANNEXE II</w:t>
      </w:r>
      <w:r w:rsidR="00830E36">
        <w:rPr>
          <w:lang w:val="fr-FR"/>
        </w:rPr>
        <w:t xml:space="preserve"> </w:t>
      </w:r>
      <w:r w:rsidRPr="00830E36">
        <w:rPr>
          <w:lang w:val="fr-FR"/>
        </w:rPr>
        <w:t>DONNÉES À ÉCHANGER</w:t>
      </w:r>
    </w:p>
    <w:p w14:paraId="78B555A9" w14:textId="77777777" w:rsidR="00746BD1" w:rsidRPr="00830E36" w:rsidRDefault="00746BD1">
      <w:pPr>
        <w:rPr>
          <w:b/>
          <w:lang w:val="fr-FR"/>
        </w:rPr>
      </w:pPr>
    </w:p>
    <w:p w14:paraId="379D83FB" w14:textId="5435B427" w:rsidR="00746BD1" w:rsidRPr="00830E36" w:rsidRDefault="00B577DB">
      <w:pPr>
        <w:rPr>
          <w:lang w:val="fr-FR"/>
        </w:rPr>
      </w:pPr>
      <w:r w:rsidRPr="00830E36">
        <w:rPr>
          <w:lang w:val="fr-FR"/>
        </w:rPr>
        <w:t>Cette proposition d</w:t>
      </w:r>
      <w:r w:rsidR="00E963E5">
        <w:rPr>
          <w:lang w:val="fr-FR"/>
        </w:rPr>
        <w:t>’</w:t>
      </w:r>
      <w:r w:rsidRPr="00830E36">
        <w:rPr>
          <w:lang w:val="fr-FR"/>
        </w:rPr>
        <w:t>annexe devrait être revue</w:t>
      </w:r>
      <w:r w:rsidR="00830E36">
        <w:rPr>
          <w:lang w:val="fr-FR"/>
        </w:rPr>
        <w:t xml:space="preserve"> </w:t>
      </w:r>
      <w:r w:rsidRPr="00830E36">
        <w:rPr>
          <w:lang w:val="fr-FR"/>
        </w:rPr>
        <w:t>et, le cas échéant, des précisions devraient être ajoutées.</w:t>
      </w:r>
    </w:p>
    <w:p w14:paraId="5B0FCB89" w14:textId="77777777" w:rsidR="00746BD1" w:rsidRPr="00830E36" w:rsidRDefault="00746BD1">
      <w:pPr>
        <w:rPr>
          <w:lang w:val="fr-FR"/>
        </w:rPr>
      </w:pPr>
    </w:p>
    <w:p w14:paraId="3C3DA32E" w14:textId="60C48503" w:rsidR="00746BD1" w:rsidRPr="00830E36" w:rsidRDefault="00B577DB">
      <w:pPr>
        <w:rPr>
          <w:lang w:val="fr-FR"/>
        </w:rPr>
      </w:pPr>
      <w:r w:rsidRPr="00830E36">
        <w:rPr>
          <w:lang w:val="fr-FR"/>
        </w:rPr>
        <w:t>Il devrait être intitulé « Informations à échanger » par souci de cohérence avec la définition d</w:t>
      </w:r>
      <w:r w:rsidR="00E963E5">
        <w:rPr>
          <w:lang w:val="fr-FR"/>
        </w:rPr>
        <w:t>’</w:t>
      </w:r>
      <w:r w:rsidRPr="00830E36">
        <w:rPr>
          <w:lang w:val="fr-FR"/>
        </w:rPr>
        <w:t>« informations » et le titre de l</w:t>
      </w:r>
      <w:r w:rsidR="00E963E5">
        <w:rPr>
          <w:lang w:val="fr-FR"/>
        </w:rPr>
        <w:t>’</w:t>
      </w:r>
      <w:r w:rsidRPr="00830E36">
        <w:rPr>
          <w:lang w:val="fr-FR"/>
        </w:rPr>
        <w:t>Accord.</w:t>
      </w:r>
    </w:p>
    <w:p w14:paraId="6A03BC42" w14:textId="2C5A29E3" w:rsidR="00746BD1" w:rsidRPr="00830E36" w:rsidRDefault="00746BD1">
      <w:pPr>
        <w:rPr>
          <w:lang w:val="fr-FR"/>
        </w:rPr>
      </w:pPr>
    </w:p>
    <w:p w14:paraId="1A05B140" w14:textId="352C153A" w:rsidR="00746BD1" w:rsidRPr="00830E36" w:rsidRDefault="00830E36">
      <w:pPr>
        <w:rPr>
          <w:lang w:val="fr-FR"/>
        </w:rPr>
      </w:pPr>
      <w:r>
        <w:rPr>
          <w:lang w:val="fr-FR"/>
        </w:rPr>
        <w:t xml:space="preserve">A noter </w:t>
      </w:r>
      <w:r w:rsidR="00B577DB" w:rsidRPr="00830E36">
        <w:rPr>
          <w:lang w:val="fr-FR"/>
        </w:rPr>
        <w:t>que le passage inoffensif n</w:t>
      </w:r>
      <w:r w:rsidR="00E963E5">
        <w:rPr>
          <w:lang w:val="fr-FR"/>
        </w:rPr>
        <w:t>’</w:t>
      </w:r>
      <w:r w:rsidR="00B577DB" w:rsidRPr="00830E36">
        <w:rPr>
          <w:lang w:val="fr-FR"/>
        </w:rPr>
        <w:t>a pas lieu dans la ZEE, la CNUDM le définit comme ayant lieu dans la mer territoriale. Il y a un transit par la ZEE et un passage inoffensif par la mer territoriale. Il convient de modifier cette disposition.</w:t>
      </w:r>
    </w:p>
    <w:p w14:paraId="411A390E" w14:textId="260B9EDC" w:rsidR="00746BD1" w:rsidRPr="00830E36" w:rsidRDefault="00746BD1">
      <w:pPr>
        <w:rPr>
          <w:lang w:val="fr-FR"/>
        </w:rPr>
      </w:pPr>
    </w:p>
    <w:p w14:paraId="567DEFF4" w14:textId="699E6809" w:rsidR="00746BD1" w:rsidRPr="00830E36" w:rsidRDefault="00B577DB">
      <w:pPr>
        <w:pStyle w:val="P68B1DB1-Normal1"/>
        <w:rPr>
          <w:lang w:val="fr-FR"/>
        </w:rPr>
      </w:pPr>
      <w:r w:rsidRPr="00830E36">
        <w:rPr>
          <w:lang w:val="fr-FR"/>
        </w:rPr>
        <w:t>ANNEXE III PROJET DE PROTOCOLE D</w:t>
      </w:r>
      <w:r w:rsidR="00E963E5">
        <w:rPr>
          <w:lang w:val="fr-FR"/>
        </w:rPr>
        <w:t>’</w:t>
      </w:r>
      <w:r w:rsidRPr="00830E36">
        <w:rPr>
          <w:lang w:val="fr-FR"/>
        </w:rPr>
        <w:t>ACCORD ENTRE LES ETATS PARTICIPANTS DU PRSP DE LA COI POUR LA CREATION D</w:t>
      </w:r>
      <w:r w:rsidR="00E963E5">
        <w:rPr>
          <w:lang w:val="fr-FR"/>
        </w:rPr>
        <w:t>’</w:t>
      </w:r>
      <w:r w:rsidRPr="00830E36">
        <w:rPr>
          <w:lang w:val="fr-FR"/>
        </w:rPr>
        <w:t xml:space="preserve">UN VMS SOUS-REGIONAL PAR SATELLITE POUR LE PARTAGE DES DONNEES ET PREVOYANT LEUR CONFIDENTIALITE </w:t>
      </w:r>
    </w:p>
    <w:p w14:paraId="0921BB52" w14:textId="77777777" w:rsidR="00746BD1" w:rsidRPr="00830E36" w:rsidRDefault="00746BD1">
      <w:pPr>
        <w:rPr>
          <w:b/>
          <w:lang w:val="fr-FR"/>
        </w:rPr>
      </w:pPr>
    </w:p>
    <w:p w14:paraId="7B6C5ED1" w14:textId="148AA16E" w:rsidR="00746BD1" w:rsidRPr="00830E36" w:rsidRDefault="00B577DB">
      <w:pPr>
        <w:rPr>
          <w:b/>
          <w:lang w:val="fr-FR"/>
        </w:rPr>
      </w:pPr>
      <w:r w:rsidRPr="00830E36">
        <w:rPr>
          <w:lang w:val="fr-FR"/>
        </w:rPr>
        <w:t xml:space="preserve">À </w:t>
      </w:r>
      <w:r w:rsidR="003707F5">
        <w:rPr>
          <w:lang w:val="fr-FR"/>
        </w:rPr>
        <w:t xml:space="preserve">envisager </w:t>
      </w:r>
      <w:r w:rsidRPr="00830E36">
        <w:rPr>
          <w:lang w:val="fr-FR"/>
        </w:rPr>
        <w:t xml:space="preserve">en vue de son inclusion </w:t>
      </w:r>
      <w:r w:rsidR="003707F5">
        <w:rPr>
          <w:lang w:val="fr-FR"/>
        </w:rPr>
        <w:t xml:space="preserve">en annexe </w:t>
      </w:r>
      <w:r w:rsidRPr="00830E36">
        <w:rPr>
          <w:lang w:val="fr-FR"/>
        </w:rPr>
        <w:t>et à finaliser</w:t>
      </w:r>
      <w:r w:rsidRPr="00830E36">
        <w:rPr>
          <w:b/>
          <w:lang w:val="fr-FR"/>
        </w:rPr>
        <w:t>.</w:t>
      </w:r>
    </w:p>
    <w:p w14:paraId="077E7FB3" w14:textId="77777777" w:rsidR="00746BD1" w:rsidRPr="00830E36" w:rsidRDefault="00746BD1">
      <w:pPr>
        <w:rPr>
          <w:b/>
          <w:lang w:val="fr-FR"/>
        </w:rPr>
      </w:pPr>
    </w:p>
    <w:p w14:paraId="26DA306B" w14:textId="0EC0E32C" w:rsidR="00746BD1" w:rsidRPr="00830E36" w:rsidRDefault="00B577DB">
      <w:pPr>
        <w:rPr>
          <w:lang w:val="fr-FR"/>
        </w:rPr>
      </w:pPr>
      <w:r w:rsidRPr="00830E36">
        <w:rPr>
          <w:lang w:val="fr-FR"/>
        </w:rPr>
        <w:t>Il définit notamment les responsabilités des Parties, la gestion des données partagées, le fonctionnement du système régional de partage des données sur les activités de pêche et la comitologie, les finances et les relations institutionnelles internes et externes.</w:t>
      </w:r>
    </w:p>
    <w:p w14:paraId="18D7B61A" w14:textId="2671AFE1" w:rsidR="00746BD1" w:rsidRPr="00830E36" w:rsidRDefault="00746BD1">
      <w:pPr>
        <w:rPr>
          <w:lang w:val="fr-FR"/>
        </w:rPr>
      </w:pPr>
    </w:p>
    <w:p w14:paraId="7275198F" w14:textId="77777777" w:rsidR="00746BD1" w:rsidRPr="00830E36" w:rsidRDefault="00746BD1">
      <w:pPr>
        <w:rPr>
          <w:lang w:val="fr-FR"/>
        </w:rPr>
      </w:pPr>
    </w:p>
    <w:p w14:paraId="2AC6357C" w14:textId="77777777" w:rsidR="00746BD1" w:rsidRPr="00830E36" w:rsidRDefault="00746BD1">
      <w:pPr>
        <w:rPr>
          <w:b/>
          <w:lang w:val="fr-FR"/>
        </w:rPr>
      </w:pPr>
    </w:p>
    <w:p w14:paraId="28AC2DB5" w14:textId="70623272" w:rsidR="00746BD1" w:rsidRPr="00830E36" w:rsidRDefault="00746BD1">
      <w:pPr>
        <w:rPr>
          <w:lang w:val="fr-FR"/>
        </w:rPr>
      </w:pPr>
    </w:p>
    <w:p w14:paraId="02363A60" w14:textId="77777777" w:rsidR="00746BD1" w:rsidRPr="00830E36" w:rsidRDefault="00746BD1">
      <w:pPr>
        <w:rPr>
          <w:lang w:val="fr-FR"/>
        </w:rPr>
      </w:pPr>
    </w:p>
    <w:p w14:paraId="4A59F424" w14:textId="77777777" w:rsidR="00746BD1" w:rsidRPr="00830E36" w:rsidRDefault="00746BD1">
      <w:pPr>
        <w:rPr>
          <w:lang w:val="fr-FR"/>
        </w:rPr>
      </w:pPr>
    </w:p>
    <w:p w14:paraId="15862D8F" w14:textId="77777777" w:rsidR="00746BD1" w:rsidRPr="00830E36" w:rsidRDefault="00746BD1">
      <w:pPr>
        <w:rPr>
          <w:lang w:val="fr-FR"/>
        </w:rPr>
      </w:pPr>
    </w:p>
    <w:sectPr w:rsidR="00746BD1" w:rsidRPr="00830E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CCC5" w14:textId="77777777" w:rsidR="00207050" w:rsidRDefault="00207050">
      <w:r>
        <w:separator/>
      </w:r>
    </w:p>
  </w:endnote>
  <w:endnote w:type="continuationSeparator" w:id="0">
    <w:p w14:paraId="3F6D2B25" w14:textId="77777777" w:rsidR="00207050" w:rsidRDefault="0020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FE83" w14:textId="77777777" w:rsidR="00207050" w:rsidRDefault="00207050">
      <w:r>
        <w:separator/>
      </w:r>
    </w:p>
  </w:footnote>
  <w:footnote w:type="continuationSeparator" w:id="0">
    <w:p w14:paraId="66E38BED" w14:textId="77777777" w:rsidR="00207050" w:rsidRDefault="0020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5A"/>
    <w:multiLevelType w:val="hybridMultilevel"/>
    <w:tmpl w:val="31F4BE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15E66A6"/>
    <w:multiLevelType w:val="hybridMultilevel"/>
    <w:tmpl w:val="97B8EA5A"/>
    <w:lvl w:ilvl="0" w:tplc="87EAA77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31E96EAA"/>
    <w:multiLevelType w:val="hybridMultilevel"/>
    <w:tmpl w:val="651698A2"/>
    <w:lvl w:ilvl="0" w:tplc="87EAA77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2623B3"/>
    <w:multiLevelType w:val="hybridMultilevel"/>
    <w:tmpl w:val="7BE8F1A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0111047"/>
    <w:multiLevelType w:val="hybridMultilevel"/>
    <w:tmpl w:val="60E256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9D1E5D"/>
    <w:multiLevelType w:val="hybridMultilevel"/>
    <w:tmpl w:val="18B8C9EA"/>
    <w:lvl w:ilvl="0" w:tplc="5F5EF600">
      <w:start w:val="1"/>
      <w:numFmt w:val="lowerLetter"/>
      <w:lvlText w:val="%1."/>
      <w:lvlJc w:val="left"/>
      <w:pPr>
        <w:ind w:left="144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C2E44FE"/>
    <w:multiLevelType w:val="hybridMultilevel"/>
    <w:tmpl w:val="7714D75C"/>
    <w:lvl w:ilvl="0" w:tplc="87EAA776">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4FD55B5B"/>
    <w:multiLevelType w:val="hybridMultilevel"/>
    <w:tmpl w:val="04E07A52"/>
    <w:lvl w:ilvl="0" w:tplc="3EE8CA38">
      <w:start w:val="1"/>
      <w:numFmt w:val="decimal"/>
      <w:lvlText w:val="%1"/>
      <w:lvlJc w:val="left"/>
      <w:pPr>
        <w:ind w:left="360" w:hanging="360"/>
      </w:pPr>
      <w:rPr>
        <w:rFonts w:hint="default"/>
        <w:i w:val="0"/>
        <w:u w:val="none"/>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 w15:restartNumberingAfterBreak="0">
    <w:nsid w:val="56C913AF"/>
    <w:multiLevelType w:val="hybridMultilevel"/>
    <w:tmpl w:val="A4721F30"/>
    <w:lvl w:ilvl="0" w:tplc="87EAA77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571C04FD"/>
    <w:multiLevelType w:val="hybridMultilevel"/>
    <w:tmpl w:val="0A4C7B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D2A606F"/>
    <w:multiLevelType w:val="hybridMultilevel"/>
    <w:tmpl w:val="42785086"/>
    <w:lvl w:ilvl="0" w:tplc="87EAA776">
      <w:start w:val="1"/>
      <w:numFmt w:val="decimal"/>
      <w:lvlText w:val="%1."/>
      <w:lvlJc w:val="left"/>
      <w:pPr>
        <w:ind w:left="360" w:hanging="360"/>
      </w:pPr>
      <w:rPr>
        <w:rFonts w:hint="default"/>
      </w:rPr>
    </w:lvl>
    <w:lvl w:ilvl="1" w:tplc="3EE8CA38">
      <w:start w:val="1"/>
      <w:numFmt w:val="decimal"/>
      <w:lvlText w:val="%2"/>
      <w:lvlJc w:val="left"/>
      <w:pPr>
        <w:ind w:left="1440" w:hanging="360"/>
      </w:pPr>
      <w:rPr>
        <w:rFonts w:hint="default"/>
        <w:i w:val="0"/>
        <w:u w:val="none"/>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645565F8"/>
    <w:multiLevelType w:val="hybridMultilevel"/>
    <w:tmpl w:val="399801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7154E66"/>
    <w:multiLevelType w:val="hybridMultilevel"/>
    <w:tmpl w:val="A91622B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CC92303"/>
    <w:multiLevelType w:val="multilevel"/>
    <w:tmpl w:val="B3126B9A"/>
    <w:styleLink w:val="StyleUN"/>
    <w:lvl w:ilvl="0">
      <w:start w:val="1"/>
      <w:numFmt w:val="decimal"/>
      <w:lvlText w:val="%1)"/>
      <w:lvlJc w:val="left"/>
      <w:pPr>
        <w:ind w:left="0" w:firstLine="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AE45DBD"/>
    <w:multiLevelType w:val="hybridMultilevel"/>
    <w:tmpl w:val="D7EE3FF6"/>
    <w:lvl w:ilvl="0" w:tplc="87EAA77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7C5F29D4"/>
    <w:multiLevelType w:val="hybridMultilevel"/>
    <w:tmpl w:val="A4805A98"/>
    <w:lvl w:ilvl="0" w:tplc="DCBE2762">
      <w:start w:val="2"/>
      <w:numFmt w:val="lowerLetter"/>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52687">
    <w:abstractNumId w:val="13"/>
  </w:num>
  <w:num w:numId="2" w16cid:durableId="871461496">
    <w:abstractNumId w:val="10"/>
  </w:num>
  <w:num w:numId="3" w16cid:durableId="1619876509">
    <w:abstractNumId w:val="4"/>
  </w:num>
  <w:num w:numId="4" w16cid:durableId="1129857465">
    <w:abstractNumId w:val="12"/>
  </w:num>
  <w:num w:numId="5" w16cid:durableId="1492210181">
    <w:abstractNumId w:val="15"/>
  </w:num>
  <w:num w:numId="6" w16cid:durableId="1592277250">
    <w:abstractNumId w:val="5"/>
  </w:num>
  <w:num w:numId="7" w16cid:durableId="507983233">
    <w:abstractNumId w:val="1"/>
  </w:num>
  <w:num w:numId="8" w16cid:durableId="109667091">
    <w:abstractNumId w:val="3"/>
  </w:num>
  <w:num w:numId="9" w16cid:durableId="345206032">
    <w:abstractNumId w:val="8"/>
  </w:num>
  <w:num w:numId="10" w16cid:durableId="683047070">
    <w:abstractNumId w:val="9"/>
  </w:num>
  <w:num w:numId="11" w16cid:durableId="680739875">
    <w:abstractNumId w:val="0"/>
  </w:num>
  <w:num w:numId="12" w16cid:durableId="892621769">
    <w:abstractNumId w:val="11"/>
  </w:num>
  <w:num w:numId="13" w16cid:durableId="2070226373">
    <w:abstractNumId w:val="6"/>
  </w:num>
  <w:num w:numId="14" w16cid:durableId="689140471">
    <w:abstractNumId w:val="2"/>
  </w:num>
  <w:num w:numId="15" w16cid:durableId="11034136">
    <w:abstractNumId w:val="7"/>
  </w:num>
  <w:num w:numId="16" w16cid:durableId="8801716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EC"/>
    <w:rsid w:val="0000222D"/>
    <w:rsid w:val="00040D19"/>
    <w:rsid w:val="00053871"/>
    <w:rsid w:val="00057364"/>
    <w:rsid w:val="00065974"/>
    <w:rsid w:val="00067462"/>
    <w:rsid w:val="00076149"/>
    <w:rsid w:val="00080C1B"/>
    <w:rsid w:val="00081EF2"/>
    <w:rsid w:val="00087A76"/>
    <w:rsid w:val="00094CA1"/>
    <w:rsid w:val="000969E0"/>
    <w:rsid w:val="000A126C"/>
    <w:rsid w:val="000B33A3"/>
    <w:rsid w:val="000D0160"/>
    <w:rsid w:val="000D535E"/>
    <w:rsid w:val="000E1EBE"/>
    <w:rsid w:val="000E61C6"/>
    <w:rsid w:val="000E6815"/>
    <w:rsid w:val="0010087F"/>
    <w:rsid w:val="0010327B"/>
    <w:rsid w:val="00122CC3"/>
    <w:rsid w:val="00125F9C"/>
    <w:rsid w:val="00130A58"/>
    <w:rsid w:val="0015718C"/>
    <w:rsid w:val="00170C1D"/>
    <w:rsid w:val="00171687"/>
    <w:rsid w:val="00177CB9"/>
    <w:rsid w:val="00191377"/>
    <w:rsid w:val="001C4158"/>
    <w:rsid w:val="001C7F73"/>
    <w:rsid w:val="001D4EEC"/>
    <w:rsid w:val="001E49BF"/>
    <w:rsid w:val="001E4E31"/>
    <w:rsid w:val="00200BF0"/>
    <w:rsid w:val="00207050"/>
    <w:rsid w:val="0020792E"/>
    <w:rsid w:val="002226B5"/>
    <w:rsid w:val="0023092C"/>
    <w:rsid w:val="00246E90"/>
    <w:rsid w:val="002478F8"/>
    <w:rsid w:val="00251501"/>
    <w:rsid w:val="00252DEB"/>
    <w:rsid w:val="002639C1"/>
    <w:rsid w:val="0026727A"/>
    <w:rsid w:val="0027120A"/>
    <w:rsid w:val="00276798"/>
    <w:rsid w:val="002A7034"/>
    <w:rsid w:val="002B7D68"/>
    <w:rsid w:val="002C0AD0"/>
    <w:rsid w:val="002C508F"/>
    <w:rsid w:val="002E4108"/>
    <w:rsid w:val="00311ED9"/>
    <w:rsid w:val="00314ED6"/>
    <w:rsid w:val="003168C7"/>
    <w:rsid w:val="00326090"/>
    <w:rsid w:val="00335571"/>
    <w:rsid w:val="00336A54"/>
    <w:rsid w:val="00337DFE"/>
    <w:rsid w:val="00337FB8"/>
    <w:rsid w:val="00365821"/>
    <w:rsid w:val="003702F7"/>
    <w:rsid w:val="003707F5"/>
    <w:rsid w:val="00374EC6"/>
    <w:rsid w:val="003844D5"/>
    <w:rsid w:val="00386A33"/>
    <w:rsid w:val="003946AC"/>
    <w:rsid w:val="00394ADD"/>
    <w:rsid w:val="003A00D3"/>
    <w:rsid w:val="003A3E40"/>
    <w:rsid w:val="003B100C"/>
    <w:rsid w:val="003C62B1"/>
    <w:rsid w:val="003D6D67"/>
    <w:rsid w:val="003E178D"/>
    <w:rsid w:val="003E50AB"/>
    <w:rsid w:val="003E5C89"/>
    <w:rsid w:val="003E5F50"/>
    <w:rsid w:val="0040104F"/>
    <w:rsid w:val="0042160A"/>
    <w:rsid w:val="00427E98"/>
    <w:rsid w:val="00436729"/>
    <w:rsid w:val="00447A78"/>
    <w:rsid w:val="00452DF4"/>
    <w:rsid w:val="00455DE3"/>
    <w:rsid w:val="00474919"/>
    <w:rsid w:val="00475766"/>
    <w:rsid w:val="0047687D"/>
    <w:rsid w:val="00484A90"/>
    <w:rsid w:val="004868AF"/>
    <w:rsid w:val="004A0150"/>
    <w:rsid w:val="004A1CCE"/>
    <w:rsid w:val="004A5E47"/>
    <w:rsid w:val="004A7A01"/>
    <w:rsid w:val="004B0CC3"/>
    <w:rsid w:val="004B7895"/>
    <w:rsid w:val="004C02BC"/>
    <w:rsid w:val="004D045D"/>
    <w:rsid w:val="004D0BEB"/>
    <w:rsid w:val="004E13FD"/>
    <w:rsid w:val="005065EC"/>
    <w:rsid w:val="00526327"/>
    <w:rsid w:val="00535B27"/>
    <w:rsid w:val="00537458"/>
    <w:rsid w:val="005529E0"/>
    <w:rsid w:val="00561A9F"/>
    <w:rsid w:val="005665DD"/>
    <w:rsid w:val="005704C0"/>
    <w:rsid w:val="00573954"/>
    <w:rsid w:val="00573BEC"/>
    <w:rsid w:val="00583C35"/>
    <w:rsid w:val="005902F8"/>
    <w:rsid w:val="005A7E10"/>
    <w:rsid w:val="005B73C6"/>
    <w:rsid w:val="005D21BB"/>
    <w:rsid w:val="005E6C77"/>
    <w:rsid w:val="005F1AB9"/>
    <w:rsid w:val="006036DF"/>
    <w:rsid w:val="0061362B"/>
    <w:rsid w:val="00613DE6"/>
    <w:rsid w:val="006225D8"/>
    <w:rsid w:val="0062540B"/>
    <w:rsid w:val="006270C2"/>
    <w:rsid w:val="006441A8"/>
    <w:rsid w:val="0065142B"/>
    <w:rsid w:val="0067547B"/>
    <w:rsid w:val="00686E59"/>
    <w:rsid w:val="00687A1B"/>
    <w:rsid w:val="006B0DF0"/>
    <w:rsid w:val="006B1F2E"/>
    <w:rsid w:val="006C64DA"/>
    <w:rsid w:val="006E4FC5"/>
    <w:rsid w:val="006E6357"/>
    <w:rsid w:val="006E676F"/>
    <w:rsid w:val="006F0CD5"/>
    <w:rsid w:val="00700D56"/>
    <w:rsid w:val="007242E6"/>
    <w:rsid w:val="00727E2B"/>
    <w:rsid w:val="00744CE5"/>
    <w:rsid w:val="00746BD1"/>
    <w:rsid w:val="00747CC5"/>
    <w:rsid w:val="0075599D"/>
    <w:rsid w:val="007564F5"/>
    <w:rsid w:val="00761708"/>
    <w:rsid w:val="00766589"/>
    <w:rsid w:val="007732C7"/>
    <w:rsid w:val="007757E4"/>
    <w:rsid w:val="00777590"/>
    <w:rsid w:val="00785790"/>
    <w:rsid w:val="007946AB"/>
    <w:rsid w:val="00796B69"/>
    <w:rsid w:val="007A507E"/>
    <w:rsid w:val="007A7E4F"/>
    <w:rsid w:val="007B5189"/>
    <w:rsid w:val="007C3976"/>
    <w:rsid w:val="007C4324"/>
    <w:rsid w:val="007D2713"/>
    <w:rsid w:val="007D6EC4"/>
    <w:rsid w:val="007F0F8E"/>
    <w:rsid w:val="007F40D5"/>
    <w:rsid w:val="0080058D"/>
    <w:rsid w:val="00807415"/>
    <w:rsid w:val="00810004"/>
    <w:rsid w:val="00810AE2"/>
    <w:rsid w:val="008222A9"/>
    <w:rsid w:val="0082371C"/>
    <w:rsid w:val="00830E36"/>
    <w:rsid w:val="00831B0A"/>
    <w:rsid w:val="00833A7C"/>
    <w:rsid w:val="00835F08"/>
    <w:rsid w:val="00862B6C"/>
    <w:rsid w:val="00867066"/>
    <w:rsid w:val="0087099B"/>
    <w:rsid w:val="0087334A"/>
    <w:rsid w:val="00876B25"/>
    <w:rsid w:val="00877098"/>
    <w:rsid w:val="008803D5"/>
    <w:rsid w:val="008927F3"/>
    <w:rsid w:val="00893EC3"/>
    <w:rsid w:val="00897DA6"/>
    <w:rsid w:val="008B0FCE"/>
    <w:rsid w:val="008B1CB6"/>
    <w:rsid w:val="008B1EB2"/>
    <w:rsid w:val="008B23F6"/>
    <w:rsid w:val="008B5B7A"/>
    <w:rsid w:val="008B6E69"/>
    <w:rsid w:val="008C1BED"/>
    <w:rsid w:val="008D64D8"/>
    <w:rsid w:val="008D7DB2"/>
    <w:rsid w:val="008E5C11"/>
    <w:rsid w:val="008E7298"/>
    <w:rsid w:val="008F0B6C"/>
    <w:rsid w:val="008F160E"/>
    <w:rsid w:val="00900997"/>
    <w:rsid w:val="00901185"/>
    <w:rsid w:val="009064FE"/>
    <w:rsid w:val="0092075A"/>
    <w:rsid w:val="00923F3E"/>
    <w:rsid w:val="009258DC"/>
    <w:rsid w:val="00941386"/>
    <w:rsid w:val="009441A6"/>
    <w:rsid w:val="00952BF5"/>
    <w:rsid w:val="0095474E"/>
    <w:rsid w:val="00991E53"/>
    <w:rsid w:val="009935A3"/>
    <w:rsid w:val="009A1CBA"/>
    <w:rsid w:val="009D409C"/>
    <w:rsid w:val="00A12693"/>
    <w:rsid w:val="00A12717"/>
    <w:rsid w:val="00A17C5E"/>
    <w:rsid w:val="00A20A6A"/>
    <w:rsid w:val="00A30AC5"/>
    <w:rsid w:val="00A41F09"/>
    <w:rsid w:val="00A44EEE"/>
    <w:rsid w:val="00A54F93"/>
    <w:rsid w:val="00A55624"/>
    <w:rsid w:val="00A56789"/>
    <w:rsid w:val="00A613ED"/>
    <w:rsid w:val="00A83186"/>
    <w:rsid w:val="00A835E9"/>
    <w:rsid w:val="00A85012"/>
    <w:rsid w:val="00A86AD8"/>
    <w:rsid w:val="00A87942"/>
    <w:rsid w:val="00A93001"/>
    <w:rsid w:val="00AA78A7"/>
    <w:rsid w:val="00AB515D"/>
    <w:rsid w:val="00AC5277"/>
    <w:rsid w:val="00AD175A"/>
    <w:rsid w:val="00AD4264"/>
    <w:rsid w:val="00AD6860"/>
    <w:rsid w:val="00AE3704"/>
    <w:rsid w:val="00B0644D"/>
    <w:rsid w:val="00B1068B"/>
    <w:rsid w:val="00B32AB6"/>
    <w:rsid w:val="00B3405C"/>
    <w:rsid w:val="00B54D47"/>
    <w:rsid w:val="00B577DB"/>
    <w:rsid w:val="00B6218F"/>
    <w:rsid w:val="00B73309"/>
    <w:rsid w:val="00B84CB0"/>
    <w:rsid w:val="00B855F3"/>
    <w:rsid w:val="00B85964"/>
    <w:rsid w:val="00B9164D"/>
    <w:rsid w:val="00B95279"/>
    <w:rsid w:val="00BA19DA"/>
    <w:rsid w:val="00BB0369"/>
    <w:rsid w:val="00BB1279"/>
    <w:rsid w:val="00BC38E9"/>
    <w:rsid w:val="00BD7235"/>
    <w:rsid w:val="00BF4BF7"/>
    <w:rsid w:val="00BF79B8"/>
    <w:rsid w:val="00C03757"/>
    <w:rsid w:val="00C21C91"/>
    <w:rsid w:val="00C23FEF"/>
    <w:rsid w:val="00C351A8"/>
    <w:rsid w:val="00C35F33"/>
    <w:rsid w:val="00C40464"/>
    <w:rsid w:val="00C54A72"/>
    <w:rsid w:val="00C559DA"/>
    <w:rsid w:val="00C559E9"/>
    <w:rsid w:val="00C75C43"/>
    <w:rsid w:val="00C8347B"/>
    <w:rsid w:val="00CA069B"/>
    <w:rsid w:val="00CB7F9B"/>
    <w:rsid w:val="00CC1F03"/>
    <w:rsid w:val="00CC65B2"/>
    <w:rsid w:val="00CD2B9C"/>
    <w:rsid w:val="00CD3BCE"/>
    <w:rsid w:val="00CE1243"/>
    <w:rsid w:val="00CE4BAE"/>
    <w:rsid w:val="00D065C8"/>
    <w:rsid w:val="00D1165E"/>
    <w:rsid w:val="00D137E4"/>
    <w:rsid w:val="00D13975"/>
    <w:rsid w:val="00D25135"/>
    <w:rsid w:val="00D2558E"/>
    <w:rsid w:val="00D41A2F"/>
    <w:rsid w:val="00D44325"/>
    <w:rsid w:val="00D52D7D"/>
    <w:rsid w:val="00D57C2C"/>
    <w:rsid w:val="00D760E7"/>
    <w:rsid w:val="00D766EE"/>
    <w:rsid w:val="00D7674C"/>
    <w:rsid w:val="00D9742C"/>
    <w:rsid w:val="00DA2149"/>
    <w:rsid w:val="00DA28AF"/>
    <w:rsid w:val="00DC3562"/>
    <w:rsid w:val="00DD4CF6"/>
    <w:rsid w:val="00DD5589"/>
    <w:rsid w:val="00DD5A7B"/>
    <w:rsid w:val="00DE2959"/>
    <w:rsid w:val="00DE2B25"/>
    <w:rsid w:val="00DE5B70"/>
    <w:rsid w:val="00DE639F"/>
    <w:rsid w:val="00DE7E9D"/>
    <w:rsid w:val="00DF31B8"/>
    <w:rsid w:val="00DF4C7B"/>
    <w:rsid w:val="00DF4F27"/>
    <w:rsid w:val="00E04C76"/>
    <w:rsid w:val="00E25EF5"/>
    <w:rsid w:val="00E50F0C"/>
    <w:rsid w:val="00E548D8"/>
    <w:rsid w:val="00E55085"/>
    <w:rsid w:val="00E74D57"/>
    <w:rsid w:val="00E84E18"/>
    <w:rsid w:val="00E93F24"/>
    <w:rsid w:val="00E95316"/>
    <w:rsid w:val="00E963E5"/>
    <w:rsid w:val="00EB682B"/>
    <w:rsid w:val="00ED2A88"/>
    <w:rsid w:val="00EF413E"/>
    <w:rsid w:val="00F05C11"/>
    <w:rsid w:val="00F30A91"/>
    <w:rsid w:val="00F336DC"/>
    <w:rsid w:val="00F6050E"/>
    <w:rsid w:val="00F62148"/>
    <w:rsid w:val="00F63963"/>
    <w:rsid w:val="00F661BC"/>
    <w:rsid w:val="00F709A6"/>
    <w:rsid w:val="00F70CD2"/>
    <w:rsid w:val="00F73003"/>
    <w:rsid w:val="00F844BF"/>
    <w:rsid w:val="00F92E82"/>
    <w:rsid w:val="00F938C5"/>
    <w:rsid w:val="00F93C90"/>
    <w:rsid w:val="00F963B6"/>
    <w:rsid w:val="00FA4B21"/>
    <w:rsid w:val="00FA52B1"/>
    <w:rsid w:val="00FB332C"/>
    <w:rsid w:val="00FB362F"/>
    <w:rsid w:val="00FC311F"/>
    <w:rsid w:val="00FD1A6F"/>
    <w:rsid w:val="00FF7FD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D7F4"/>
  <w15:chartTrackingRefBased/>
  <w15:docId w15:val="{0F8594D4-E4D7-4A29-96B1-C98DF7FF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UN">
    <w:name w:val="Style UN"/>
    <w:uiPriority w:val="99"/>
    <w:rsid w:val="00386A33"/>
    <w:pPr>
      <w:numPr>
        <w:numId w:val="1"/>
      </w:numPr>
    </w:pPr>
  </w:style>
  <w:style w:type="paragraph" w:styleId="ListParagraph">
    <w:name w:val="List Paragraph"/>
    <w:basedOn w:val="Normal"/>
    <w:uiPriority w:val="34"/>
    <w:qFormat/>
    <w:rsid w:val="00F844BF"/>
    <w:pPr>
      <w:ind w:left="720"/>
      <w:contextualSpacing/>
    </w:pPr>
    <w:rPr>
      <w:rFonts w:eastAsiaTheme="minorEastAsia"/>
      <w:sz w:val="24"/>
    </w:rPr>
  </w:style>
  <w:style w:type="character" w:styleId="CommentReference">
    <w:name w:val="annotation reference"/>
    <w:basedOn w:val="DefaultParagraphFont"/>
    <w:uiPriority w:val="99"/>
    <w:semiHidden/>
    <w:unhideWhenUsed/>
    <w:rsid w:val="00F844BF"/>
    <w:rPr>
      <w:sz w:val="16"/>
    </w:rPr>
  </w:style>
  <w:style w:type="paragraph" w:styleId="CommentText">
    <w:name w:val="annotation text"/>
    <w:basedOn w:val="Normal"/>
    <w:link w:val="CommentTextChar"/>
    <w:uiPriority w:val="99"/>
    <w:unhideWhenUsed/>
    <w:rsid w:val="00F844BF"/>
    <w:rPr>
      <w:rFonts w:eastAsiaTheme="minorEastAsia"/>
      <w:sz w:val="20"/>
    </w:rPr>
  </w:style>
  <w:style w:type="character" w:customStyle="1" w:styleId="CommentTextChar">
    <w:name w:val="Comment Text Char"/>
    <w:basedOn w:val="DefaultParagraphFont"/>
    <w:link w:val="CommentText"/>
    <w:uiPriority w:val="99"/>
    <w:rsid w:val="00F844BF"/>
    <w:rPr>
      <w:rFonts w:eastAsiaTheme="minorEastAsia"/>
      <w:sz w:val="20"/>
    </w:rPr>
  </w:style>
  <w:style w:type="paragraph" w:styleId="Header">
    <w:name w:val="header"/>
    <w:basedOn w:val="Normal"/>
    <w:link w:val="HeaderChar"/>
    <w:uiPriority w:val="99"/>
    <w:unhideWhenUsed/>
    <w:rsid w:val="00DF31B8"/>
    <w:pPr>
      <w:tabs>
        <w:tab w:val="center" w:pos="4513"/>
        <w:tab w:val="right" w:pos="9026"/>
      </w:tabs>
    </w:pPr>
  </w:style>
  <w:style w:type="character" w:customStyle="1" w:styleId="HeaderChar">
    <w:name w:val="Header Char"/>
    <w:basedOn w:val="DefaultParagraphFont"/>
    <w:link w:val="Header"/>
    <w:uiPriority w:val="99"/>
    <w:rsid w:val="00DF31B8"/>
  </w:style>
  <w:style w:type="paragraph" w:styleId="Footer">
    <w:name w:val="footer"/>
    <w:basedOn w:val="Normal"/>
    <w:link w:val="FooterChar"/>
    <w:uiPriority w:val="99"/>
    <w:unhideWhenUsed/>
    <w:rsid w:val="00DF31B8"/>
    <w:pPr>
      <w:tabs>
        <w:tab w:val="center" w:pos="4513"/>
        <w:tab w:val="right" w:pos="9026"/>
      </w:tabs>
    </w:pPr>
  </w:style>
  <w:style w:type="character" w:customStyle="1" w:styleId="FooterChar">
    <w:name w:val="Footer Char"/>
    <w:basedOn w:val="DefaultParagraphFont"/>
    <w:link w:val="Footer"/>
    <w:uiPriority w:val="99"/>
    <w:rsid w:val="00DF31B8"/>
  </w:style>
  <w:style w:type="paragraph" w:styleId="Revision">
    <w:name w:val="Revision"/>
    <w:hidden/>
    <w:uiPriority w:val="99"/>
    <w:semiHidden/>
    <w:rsid w:val="00833A7C"/>
  </w:style>
  <w:style w:type="paragraph" w:customStyle="1" w:styleId="P68B1DB1-Normal1">
    <w:name w:val="P68B1DB1-Normal1"/>
    <w:basedOn w:val="Normal"/>
    <w:rPr>
      <w:b/>
    </w:rPr>
  </w:style>
  <w:style w:type="paragraph" w:customStyle="1" w:styleId="P68B1DB1-Normal2">
    <w:name w:val="P68B1DB1-Normal2"/>
    <w:basedOn w:val="Normal"/>
    <w:rPr>
      <w:b/>
      <w:i/>
    </w:rPr>
  </w:style>
  <w:style w:type="paragraph" w:customStyle="1" w:styleId="P68B1DB1-Normal3">
    <w:name w:val="P68B1DB1-Normal3"/>
    <w:basedOn w:val="Normal"/>
    <w:rPr>
      <w:rFonts w:eastAsia="MS Mincho" w:cs="Times New Roman"/>
    </w:rPr>
  </w:style>
  <w:style w:type="paragraph" w:customStyle="1" w:styleId="P68B1DB1-Normal4">
    <w:name w:val="P68B1DB1-Normal4"/>
    <w:basedOn w:val="Normal"/>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901">
      <w:bodyDiv w:val="1"/>
      <w:marLeft w:val="0"/>
      <w:marRight w:val="0"/>
      <w:marTop w:val="0"/>
      <w:marBottom w:val="0"/>
      <w:divBdr>
        <w:top w:val="none" w:sz="0" w:space="0" w:color="auto"/>
        <w:left w:val="none" w:sz="0" w:space="0" w:color="auto"/>
        <w:bottom w:val="none" w:sz="0" w:space="0" w:color="auto"/>
        <w:right w:val="none" w:sz="0" w:space="0" w:color="auto"/>
      </w:divBdr>
    </w:div>
    <w:div w:id="620964229">
      <w:bodyDiv w:val="1"/>
      <w:marLeft w:val="0"/>
      <w:marRight w:val="0"/>
      <w:marTop w:val="0"/>
      <w:marBottom w:val="0"/>
      <w:divBdr>
        <w:top w:val="none" w:sz="0" w:space="0" w:color="auto"/>
        <w:left w:val="none" w:sz="0" w:space="0" w:color="auto"/>
        <w:bottom w:val="none" w:sz="0" w:space="0" w:color="auto"/>
        <w:right w:val="none" w:sz="0" w:space="0" w:color="auto"/>
      </w:divBdr>
    </w:div>
    <w:div w:id="629555508">
      <w:bodyDiv w:val="1"/>
      <w:marLeft w:val="0"/>
      <w:marRight w:val="0"/>
      <w:marTop w:val="0"/>
      <w:marBottom w:val="0"/>
      <w:divBdr>
        <w:top w:val="none" w:sz="0" w:space="0" w:color="auto"/>
        <w:left w:val="none" w:sz="0" w:space="0" w:color="auto"/>
        <w:bottom w:val="none" w:sz="0" w:space="0" w:color="auto"/>
        <w:right w:val="none" w:sz="0" w:space="0" w:color="auto"/>
      </w:divBdr>
    </w:div>
    <w:div w:id="706683951">
      <w:bodyDiv w:val="1"/>
      <w:marLeft w:val="0"/>
      <w:marRight w:val="0"/>
      <w:marTop w:val="0"/>
      <w:marBottom w:val="0"/>
      <w:divBdr>
        <w:top w:val="none" w:sz="0" w:space="0" w:color="auto"/>
        <w:left w:val="none" w:sz="0" w:space="0" w:color="auto"/>
        <w:bottom w:val="none" w:sz="0" w:space="0" w:color="auto"/>
        <w:right w:val="none" w:sz="0" w:space="0" w:color="auto"/>
      </w:divBdr>
    </w:div>
    <w:div w:id="866992637">
      <w:bodyDiv w:val="1"/>
      <w:marLeft w:val="0"/>
      <w:marRight w:val="0"/>
      <w:marTop w:val="0"/>
      <w:marBottom w:val="0"/>
      <w:divBdr>
        <w:top w:val="none" w:sz="0" w:space="0" w:color="auto"/>
        <w:left w:val="none" w:sz="0" w:space="0" w:color="auto"/>
        <w:bottom w:val="none" w:sz="0" w:space="0" w:color="auto"/>
        <w:right w:val="none" w:sz="0" w:space="0" w:color="auto"/>
      </w:divBdr>
    </w:div>
    <w:div w:id="877426191">
      <w:bodyDiv w:val="1"/>
      <w:marLeft w:val="0"/>
      <w:marRight w:val="0"/>
      <w:marTop w:val="0"/>
      <w:marBottom w:val="0"/>
      <w:divBdr>
        <w:top w:val="none" w:sz="0" w:space="0" w:color="auto"/>
        <w:left w:val="none" w:sz="0" w:space="0" w:color="auto"/>
        <w:bottom w:val="none" w:sz="0" w:space="0" w:color="auto"/>
        <w:right w:val="none" w:sz="0" w:space="0" w:color="auto"/>
      </w:divBdr>
    </w:div>
    <w:div w:id="1102381213">
      <w:bodyDiv w:val="1"/>
      <w:marLeft w:val="0"/>
      <w:marRight w:val="0"/>
      <w:marTop w:val="0"/>
      <w:marBottom w:val="0"/>
      <w:divBdr>
        <w:top w:val="none" w:sz="0" w:space="0" w:color="auto"/>
        <w:left w:val="none" w:sz="0" w:space="0" w:color="auto"/>
        <w:bottom w:val="none" w:sz="0" w:space="0" w:color="auto"/>
        <w:right w:val="none" w:sz="0" w:space="0" w:color="auto"/>
      </w:divBdr>
    </w:div>
    <w:div w:id="1191380874">
      <w:bodyDiv w:val="1"/>
      <w:marLeft w:val="0"/>
      <w:marRight w:val="0"/>
      <w:marTop w:val="0"/>
      <w:marBottom w:val="0"/>
      <w:divBdr>
        <w:top w:val="none" w:sz="0" w:space="0" w:color="auto"/>
        <w:left w:val="none" w:sz="0" w:space="0" w:color="auto"/>
        <w:bottom w:val="none" w:sz="0" w:space="0" w:color="auto"/>
        <w:right w:val="none" w:sz="0" w:space="0" w:color="auto"/>
      </w:divBdr>
    </w:div>
    <w:div w:id="1216773424">
      <w:bodyDiv w:val="1"/>
      <w:marLeft w:val="0"/>
      <w:marRight w:val="0"/>
      <w:marTop w:val="0"/>
      <w:marBottom w:val="0"/>
      <w:divBdr>
        <w:top w:val="none" w:sz="0" w:space="0" w:color="auto"/>
        <w:left w:val="none" w:sz="0" w:space="0" w:color="auto"/>
        <w:bottom w:val="none" w:sz="0" w:space="0" w:color="auto"/>
        <w:right w:val="none" w:sz="0" w:space="0" w:color="auto"/>
      </w:divBdr>
    </w:div>
    <w:div w:id="1252741042">
      <w:bodyDiv w:val="1"/>
      <w:marLeft w:val="0"/>
      <w:marRight w:val="0"/>
      <w:marTop w:val="0"/>
      <w:marBottom w:val="0"/>
      <w:divBdr>
        <w:top w:val="none" w:sz="0" w:space="0" w:color="auto"/>
        <w:left w:val="none" w:sz="0" w:space="0" w:color="auto"/>
        <w:bottom w:val="none" w:sz="0" w:space="0" w:color="auto"/>
        <w:right w:val="none" w:sz="0" w:space="0" w:color="auto"/>
      </w:divBdr>
    </w:div>
    <w:div w:id="1253539830">
      <w:bodyDiv w:val="1"/>
      <w:marLeft w:val="0"/>
      <w:marRight w:val="0"/>
      <w:marTop w:val="0"/>
      <w:marBottom w:val="0"/>
      <w:divBdr>
        <w:top w:val="none" w:sz="0" w:space="0" w:color="auto"/>
        <w:left w:val="none" w:sz="0" w:space="0" w:color="auto"/>
        <w:bottom w:val="none" w:sz="0" w:space="0" w:color="auto"/>
        <w:right w:val="none" w:sz="0" w:space="0" w:color="auto"/>
      </w:divBdr>
    </w:div>
    <w:div w:id="1587687347">
      <w:bodyDiv w:val="1"/>
      <w:marLeft w:val="0"/>
      <w:marRight w:val="0"/>
      <w:marTop w:val="0"/>
      <w:marBottom w:val="0"/>
      <w:divBdr>
        <w:top w:val="none" w:sz="0" w:space="0" w:color="auto"/>
        <w:left w:val="none" w:sz="0" w:space="0" w:color="auto"/>
        <w:bottom w:val="none" w:sz="0" w:space="0" w:color="auto"/>
        <w:right w:val="none" w:sz="0" w:space="0" w:color="auto"/>
      </w:divBdr>
    </w:div>
    <w:div w:id="1623917640">
      <w:bodyDiv w:val="1"/>
      <w:marLeft w:val="0"/>
      <w:marRight w:val="0"/>
      <w:marTop w:val="0"/>
      <w:marBottom w:val="0"/>
      <w:divBdr>
        <w:top w:val="none" w:sz="0" w:space="0" w:color="auto"/>
        <w:left w:val="none" w:sz="0" w:space="0" w:color="auto"/>
        <w:bottom w:val="none" w:sz="0" w:space="0" w:color="auto"/>
        <w:right w:val="none" w:sz="0" w:space="0" w:color="auto"/>
      </w:divBdr>
    </w:div>
    <w:div w:id="1681081723">
      <w:bodyDiv w:val="1"/>
      <w:marLeft w:val="0"/>
      <w:marRight w:val="0"/>
      <w:marTop w:val="0"/>
      <w:marBottom w:val="0"/>
      <w:divBdr>
        <w:top w:val="none" w:sz="0" w:space="0" w:color="auto"/>
        <w:left w:val="none" w:sz="0" w:space="0" w:color="auto"/>
        <w:bottom w:val="none" w:sz="0" w:space="0" w:color="auto"/>
        <w:right w:val="none" w:sz="0" w:space="0" w:color="auto"/>
      </w:divBdr>
    </w:div>
    <w:div w:id="1788427173">
      <w:bodyDiv w:val="1"/>
      <w:marLeft w:val="0"/>
      <w:marRight w:val="0"/>
      <w:marTop w:val="0"/>
      <w:marBottom w:val="0"/>
      <w:divBdr>
        <w:top w:val="none" w:sz="0" w:space="0" w:color="auto"/>
        <w:left w:val="none" w:sz="0" w:space="0" w:color="auto"/>
        <w:bottom w:val="none" w:sz="0" w:space="0" w:color="auto"/>
        <w:right w:val="none" w:sz="0" w:space="0" w:color="auto"/>
      </w:divBdr>
    </w:div>
    <w:div w:id="1848979261">
      <w:bodyDiv w:val="1"/>
      <w:marLeft w:val="0"/>
      <w:marRight w:val="0"/>
      <w:marTop w:val="0"/>
      <w:marBottom w:val="0"/>
      <w:divBdr>
        <w:top w:val="none" w:sz="0" w:space="0" w:color="auto"/>
        <w:left w:val="none" w:sz="0" w:space="0" w:color="auto"/>
        <w:bottom w:val="none" w:sz="0" w:space="0" w:color="auto"/>
        <w:right w:val="none" w:sz="0" w:space="0" w:color="auto"/>
      </w:divBdr>
    </w:div>
    <w:div w:id="1849441185">
      <w:bodyDiv w:val="1"/>
      <w:marLeft w:val="0"/>
      <w:marRight w:val="0"/>
      <w:marTop w:val="0"/>
      <w:marBottom w:val="0"/>
      <w:divBdr>
        <w:top w:val="none" w:sz="0" w:space="0" w:color="auto"/>
        <w:left w:val="none" w:sz="0" w:space="0" w:color="auto"/>
        <w:bottom w:val="none" w:sz="0" w:space="0" w:color="auto"/>
        <w:right w:val="none" w:sz="0" w:space="0" w:color="auto"/>
      </w:divBdr>
    </w:div>
    <w:div w:id="2001735197">
      <w:bodyDiv w:val="1"/>
      <w:marLeft w:val="0"/>
      <w:marRight w:val="0"/>
      <w:marTop w:val="0"/>
      <w:marBottom w:val="0"/>
      <w:divBdr>
        <w:top w:val="none" w:sz="0" w:space="0" w:color="auto"/>
        <w:left w:val="none" w:sz="0" w:space="0" w:color="auto"/>
        <w:bottom w:val="none" w:sz="0" w:space="0" w:color="auto"/>
        <w:right w:val="none" w:sz="0" w:space="0" w:color="auto"/>
      </w:divBdr>
    </w:div>
    <w:div w:id="21340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3144</Words>
  <Characters>17926</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Swan</dc:creator>
  <cp:keywords/>
  <dc:description/>
  <cp:lastModifiedBy>Subhas Chandra Bauljeewon</cp:lastModifiedBy>
  <cp:revision>3</cp:revision>
  <dcterms:created xsi:type="dcterms:W3CDTF">2023-01-24T04:50:00Z</dcterms:created>
  <dcterms:modified xsi:type="dcterms:W3CDTF">2023-01-24T10:04:00Z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e5663ab1bf84b17cfaa8c8aa182a518c59d5d1ce02743b3553256e4bdf5b5da7</vt:lpwstr>
  </property>
</Properties>
</file>